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BD" w:rsidRPr="001945BD" w:rsidRDefault="001945BD" w:rsidP="001945B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945BD" w:rsidRPr="001945BD" w:rsidRDefault="001945BD" w:rsidP="001945BD">
      <w:pPr>
        <w:spacing w:after="0" w:line="312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Pr="0019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9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бюджета муниципального образования муниципального района «Корткеросский» за </w:t>
      </w:r>
      <w:r w:rsidR="00BB5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19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945BD" w:rsidRPr="00B82532" w:rsidRDefault="001945BD" w:rsidP="001945BD">
      <w:pPr>
        <w:spacing w:after="0" w:line="312" w:lineRule="auto"/>
        <w:ind w:right="14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1945BD" w:rsidRPr="00B82532" w:rsidRDefault="001945BD" w:rsidP="001945BD">
      <w:pPr>
        <w:numPr>
          <w:ilvl w:val="0"/>
          <w:numId w:val="17"/>
        </w:numPr>
        <w:spacing w:after="0" w:line="312" w:lineRule="auto"/>
        <w:ind w:right="14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Общие итоги исполнения бюджета МО МР </w:t>
      </w:r>
      <w:r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"</w:t>
      </w:r>
      <w:r w:rsidRPr="00B8253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Корткеросский</w:t>
      </w:r>
      <w:r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"</w:t>
      </w:r>
    </w:p>
    <w:p w:rsidR="001945BD" w:rsidRPr="00B82532" w:rsidRDefault="001945BD" w:rsidP="001945BD">
      <w:pPr>
        <w:tabs>
          <w:tab w:val="left" w:pos="567"/>
        </w:tabs>
        <w:spacing w:after="0" w:line="312" w:lineRule="auto"/>
        <w:ind w:right="140" w:firstLine="567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1945BD" w:rsidRPr="00B82532" w:rsidRDefault="001945BD" w:rsidP="001945B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МО МР "Корткеросский" в </w:t>
      </w:r>
      <w:r w:rsidR="00BB5E7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осуществлялось в соответствии с решением Совета МР "Корткеросский" от 2</w:t>
      </w:r>
      <w:r w:rsidR="004A53FA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BB5E7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B825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A53FA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4A53FA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945BD" w:rsidRPr="00B82532" w:rsidRDefault="001945BD" w:rsidP="001945B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B5E7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основные параметры бюджета изменились следующим образом: </w:t>
      </w:r>
    </w:p>
    <w:p w:rsidR="00C91F5B" w:rsidRPr="00B82532" w:rsidRDefault="00C91F5B" w:rsidP="001945B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45BD" w:rsidRPr="00B82532" w:rsidRDefault="00E72CB8" w:rsidP="00E72CB8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8253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1945BD" w:rsidRPr="00B82532">
        <w:rPr>
          <w:rFonts w:ascii="Times New Roman" w:eastAsia="Times New Roman" w:hAnsi="Times New Roman" w:cs="Times New Roman"/>
          <w:lang w:eastAsia="ru-RU"/>
        </w:rPr>
        <w:t>(тыс.</w:t>
      </w:r>
      <w:r w:rsidR="00C91F5B" w:rsidRPr="00B825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45BD" w:rsidRPr="00B82532">
        <w:rPr>
          <w:rFonts w:ascii="Times New Roman" w:eastAsia="Times New Roman" w:hAnsi="Times New Roman" w:cs="Times New Roman"/>
          <w:lang w:eastAsia="ru-RU"/>
        </w:rPr>
        <w:t>руб.)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418"/>
        <w:gridCol w:w="1275"/>
        <w:gridCol w:w="1134"/>
        <w:gridCol w:w="993"/>
        <w:gridCol w:w="1275"/>
        <w:gridCol w:w="993"/>
      </w:tblGrid>
      <w:tr w:rsidR="00B82532" w:rsidRPr="00B82532" w:rsidTr="00E72CB8">
        <w:trPr>
          <w:trHeight w:val="79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Первоначальный план (на 01.01.</w:t>
            </w:r>
            <w:r w:rsidR="00BB5E7B"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план (на 31.12.</w:t>
            </w:r>
            <w:r w:rsidR="00BB5E7B"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г.)</w:t>
            </w:r>
            <w:r w:rsidR="00C91F5B"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согласно ф.0503317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Отклонение исполнения </w:t>
            </w: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от первоначального плана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Отклонение исполнения </w:t>
            </w: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u w:val="single"/>
                <w:lang w:eastAsia="ru-RU"/>
              </w:rPr>
              <w:t>от уточненного плана</w:t>
            </w:r>
          </w:p>
        </w:tc>
      </w:tr>
      <w:tr w:rsidR="00B82532" w:rsidRPr="00B82532" w:rsidTr="00345CE6">
        <w:trPr>
          <w:trHeight w:val="22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8B7B7B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B7B7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8B7B7B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B7B7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7C6981" w:rsidRPr="00BB5E7B" w:rsidTr="00345CE6">
        <w:trPr>
          <w:trHeight w:val="3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1 602 285,4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2 205 195,9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2 080 324,3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B82532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478 038,9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593850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  <w:r w:rsidR="007C6981" w:rsidRPr="008B7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7B7B" w:rsidRPr="008B7B7B">
              <w:rPr>
                <w:rFonts w:ascii="Times New Roman" w:hAnsi="Times New Roman" w:cs="Times New Roman"/>
                <w:sz w:val="20"/>
                <w:szCs w:val="20"/>
              </w:rPr>
              <w:t>124 871,6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2F227F" w:rsidRDefault="007C6981" w:rsidP="008B7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7B7B" w:rsidRPr="002F227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6981" w:rsidRPr="00BB5E7B" w:rsidTr="00345CE6">
        <w:trPr>
          <w:trHeight w:val="4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303 394,1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342 905,6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361 171,8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8B7B7B" w:rsidRDefault="00B82532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57 777,7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  <w:r w:rsidR="007C6981" w:rsidRPr="008B7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18 266,2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981" w:rsidRPr="002F227F" w:rsidRDefault="007C6981" w:rsidP="002F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2F227F" w:rsidRPr="002F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6981" w:rsidRPr="00BB5E7B" w:rsidTr="00345CE6">
        <w:trPr>
          <w:trHeight w:val="5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1 298 891,3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1 862 290,3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1 719 152,5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593850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420 261,2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  <w:r w:rsidR="007C6981" w:rsidRPr="008B7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-143 137,8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2F227F" w:rsidRDefault="007C6981" w:rsidP="002F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227F" w:rsidRPr="002F227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6981" w:rsidRPr="00BB5E7B" w:rsidTr="00345CE6">
        <w:trPr>
          <w:trHeight w:val="2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1 595 794,4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2 464 912,0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2 275 766,2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593850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679 971,8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C6981" w:rsidRPr="008B7B7B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-189 145,8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2F227F" w:rsidRDefault="007C6981" w:rsidP="002F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F227F" w:rsidRPr="002F227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6981" w:rsidRPr="00BB5E7B" w:rsidTr="00345CE6">
        <w:trPr>
          <w:trHeight w:val="3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AF6AE1" w:rsidP="00571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AF6AE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6981" w:rsidRPr="00B82532">
              <w:rPr>
                <w:rFonts w:ascii="Times New Roman" w:hAnsi="Times New Roman" w:cs="Times New Roman"/>
                <w:sz w:val="20"/>
                <w:szCs w:val="20"/>
              </w:rPr>
              <w:t>6 491,0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AF6AE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260 418,5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B82532" w:rsidRDefault="007C6981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532">
              <w:rPr>
                <w:rFonts w:ascii="Times New Roman" w:hAnsi="Times New Roman" w:cs="Times New Roman"/>
                <w:sz w:val="20"/>
                <w:szCs w:val="20"/>
              </w:rPr>
              <w:t>195 441,9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593850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201 932,9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2910</w:t>
            </w:r>
            <w:r w:rsidR="007C6981" w:rsidRPr="008B7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8B7B7B" w:rsidRDefault="008B7B7B" w:rsidP="0057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B">
              <w:rPr>
                <w:rFonts w:ascii="Times New Roman" w:hAnsi="Times New Roman" w:cs="Times New Roman"/>
                <w:sz w:val="20"/>
                <w:szCs w:val="20"/>
              </w:rPr>
              <w:t>-64 976,6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81" w:rsidRPr="002F227F" w:rsidRDefault="002F227F" w:rsidP="002F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7C6981" w:rsidRPr="002F2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1945BD" w:rsidRPr="00BB5E7B" w:rsidRDefault="001945BD" w:rsidP="001945BD">
      <w:pPr>
        <w:tabs>
          <w:tab w:val="left" w:pos="567"/>
          <w:tab w:val="left" w:pos="851"/>
          <w:tab w:val="left" w:pos="1134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</w:pPr>
    </w:p>
    <w:p w:rsidR="001945BD" w:rsidRPr="00B82532" w:rsidRDefault="001945BD" w:rsidP="001945BD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С учетом изменений, внесенных в течение финансового года, плановые основные параметры бюджета </w:t>
      </w:r>
      <w:r w:rsidR="00187384"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МО МР "Корткеросский"</w:t>
      </w:r>
      <w:r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</w:t>
      </w:r>
      <w:r w:rsidR="00BB5E7B"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2023</w:t>
      </w:r>
      <w:r w:rsidRPr="00B8253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 составили:</w:t>
      </w:r>
    </w:p>
    <w:p w:rsidR="001945BD" w:rsidRPr="00B82532" w:rsidRDefault="001945BD" w:rsidP="001945BD">
      <w:pPr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– </w:t>
      </w:r>
      <w:r w:rsidR="00AF6AE1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2 205 195,9</w:t>
      </w:r>
      <w:r w:rsidR="00C91F5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F72689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945BD" w:rsidRPr="00B82532" w:rsidRDefault="001945BD" w:rsidP="001945BD">
      <w:pPr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– </w:t>
      </w:r>
      <w:r w:rsidR="00AF6AE1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2 464 912,0 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C91F5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945BD" w:rsidRPr="00B82532" w:rsidRDefault="001945BD" w:rsidP="001945BD">
      <w:pPr>
        <w:numPr>
          <w:ilvl w:val="0"/>
          <w:numId w:val="1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– </w:t>
      </w:r>
      <w:r w:rsidR="00AF6AE1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260 418,5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F72689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860448" w:rsidRPr="00B82532" w:rsidRDefault="00860448" w:rsidP="001945BD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5BD" w:rsidRPr="00B82532" w:rsidRDefault="001945BD" w:rsidP="001945BD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основных показателей исполнения бюджета </w:t>
      </w:r>
      <w:r w:rsidR="00187384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МР "Корткеросский"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B5E7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E7B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448"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B8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таблице:</w:t>
      </w:r>
    </w:p>
    <w:p w:rsidR="001945BD" w:rsidRPr="00B82532" w:rsidRDefault="001945BD" w:rsidP="001945BD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312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B82532">
        <w:rPr>
          <w:rFonts w:ascii="Times New Roman" w:eastAsia="Times New Roman" w:hAnsi="Times New Roman" w:cs="Times New Roman"/>
          <w:lang w:eastAsia="ru-RU"/>
        </w:rPr>
        <w:t>(тыс.</w:t>
      </w:r>
      <w:r w:rsidR="00F72689" w:rsidRPr="00B825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2532">
        <w:rPr>
          <w:rFonts w:ascii="Times New Roman" w:eastAsia="Times New Roman" w:hAnsi="Times New Roman" w:cs="Times New Roman"/>
          <w:lang w:eastAsia="ru-RU"/>
        </w:rPr>
        <w:t>руб.)</w:t>
      </w:r>
    </w:p>
    <w:tbl>
      <w:tblPr>
        <w:tblW w:w="10131" w:type="dxa"/>
        <w:tblInd w:w="113" w:type="dxa"/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1489"/>
      </w:tblGrid>
      <w:tr w:rsidR="00B82532" w:rsidRPr="00B82532" w:rsidTr="00345CE6">
        <w:trPr>
          <w:trHeight w:val="4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1945BD" w:rsidP="0019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BB5E7B" w:rsidP="0018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="001945BD"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BB5E7B" w:rsidP="0018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="001945BD"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1945BD" w:rsidRPr="00B82532" w:rsidRDefault="00BB5E7B" w:rsidP="0018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="001945BD" w:rsidRPr="00B82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82532" w:rsidRPr="00B82532" w:rsidTr="00345CE6">
        <w:trPr>
          <w:trHeight w:val="4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1 313 745,4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1 740 164,6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B82532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2 080 324,3 </w:t>
            </w:r>
          </w:p>
        </w:tc>
      </w:tr>
      <w:tr w:rsidR="00B82532" w:rsidRPr="00B82532" w:rsidTr="00345CE6">
        <w:trPr>
          <w:trHeight w:val="4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349 800,6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330 803,0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B82532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361 171,8</w:t>
            </w:r>
          </w:p>
        </w:tc>
      </w:tr>
      <w:tr w:rsidR="00B82532" w:rsidRPr="00B82532" w:rsidTr="00345CE6">
        <w:trPr>
          <w:trHeight w:val="42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963 944,8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1 409 361,6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B82532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1 719 152,5</w:t>
            </w:r>
          </w:p>
        </w:tc>
      </w:tr>
      <w:tr w:rsidR="00B82532" w:rsidRPr="00B82532" w:rsidTr="00345CE6">
        <w:trPr>
          <w:trHeight w:val="4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1 309 095,1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1 481 287,8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B82532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2 275 766,2</w:t>
            </w:r>
          </w:p>
        </w:tc>
      </w:tr>
      <w:tr w:rsidR="00B82532" w:rsidRPr="00B82532" w:rsidTr="00345CE6">
        <w:trPr>
          <w:trHeight w:val="42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 /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AF6AE1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258 876,8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1" w:rsidRPr="00B82532" w:rsidRDefault="00B82532" w:rsidP="00AF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- 195 441,9</w:t>
            </w:r>
          </w:p>
        </w:tc>
      </w:tr>
    </w:tbl>
    <w:p w:rsidR="00520B47" w:rsidRPr="00BB5E7B" w:rsidRDefault="00520B47" w:rsidP="00E26005">
      <w:pPr>
        <w:spacing w:after="0" w:line="240" w:lineRule="auto"/>
        <w:ind w:firstLine="567"/>
        <w:rPr>
          <w:rFonts w:ascii="Times New Roman" w:hAnsi="Times New Roman" w:cs="Times New Roman"/>
          <w:vanish/>
          <w:color w:val="FF0000"/>
          <w:sz w:val="24"/>
          <w:szCs w:val="24"/>
          <w:lang w:eastAsia="ru-RU"/>
        </w:rPr>
      </w:pPr>
    </w:p>
    <w:tbl>
      <w:tblPr>
        <w:tblW w:w="9781" w:type="dxa"/>
        <w:tblCellSpacing w:w="15" w:type="dxa"/>
        <w:tblInd w:w="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BB5E7B" w:rsidRPr="00BB5E7B" w:rsidTr="00580FFD">
        <w:trPr>
          <w:trHeight w:val="14129"/>
          <w:tblCellSpacing w:w="15" w:type="dxa"/>
        </w:trPr>
        <w:tc>
          <w:tcPr>
            <w:tcW w:w="9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B47" w:rsidRPr="00371CB0" w:rsidRDefault="00520B47" w:rsidP="00C64FF9">
            <w:pPr>
              <w:tabs>
                <w:tab w:val="left" w:pos="7620"/>
              </w:tabs>
              <w:spacing w:after="0" w:line="240" w:lineRule="auto"/>
              <w:ind w:firstLine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об исполнении бюджета</w:t>
            </w:r>
            <w:r w:rsidR="00187384" w:rsidRPr="00371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доходам</w:t>
            </w:r>
          </w:p>
          <w:p w:rsidR="00BD6A95" w:rsidRPr="00371CB0" w:rsidRDefault="00BD6A95" w:rsidP="00C64FF9">
            <w:pPr>
              <w:tabs>
                <w:tab w:val="left" w:pos="7620"/>
              </w:tabs>
              <w:spacing w:after="0" w:line="240" w:lineRule="auto"/>
              <w:ind w:firstLine="5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689" w:rsidRPr="00371CB0" w:rsidRDefault="00F72689" w:rsidP="00F72689">
            <w:pPr>
              <w:tabs>
                <w:tab w:val="num" w:pos="0"/>
                <w:tab w:val="left" w:pos="900"/>
                <w:tab w:val="left" w:pos="7620"/>
              </w:tabs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муниципального района «Корткеросский» за </w:t>
            </w:r>
            <w:r w:rsidR="00BB5E7B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исполнена в сумме 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2 080 334,3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644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76644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129,8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к первоначально утвержденному плану (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1 602 285,4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уточненному плану (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2 205 195,9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), из них налоговые и неналоговые доходы составили 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361 171,8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644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6644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безвозмездные поступления – 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1 719 152,5</w:t>
            </w:r>
            <w:r w:rsidR="00976644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C62CAC" w:rsidRPr="00371CB0" w:rsidRDefault="00C62CAC" w:rsidP="00C62CAC">
            <w:pPr>
              <w:tabs>
                <w:tab w:val="num" w:pos="0"/>
                <w:tab w:val="left" w:pos="900"/>
                <w:tab w:val="left" w:pos="7620"/>
              </w:tabs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собственных доходов бюджета в общем объеме поступлений составила 1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,0%, удельный вес безвозмездных поступлений – 8</w:t>
            </w:r>
            <w:r w:rsidR="00371CB0"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1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B05F0E" w:rsidRPr="00BB5E7B" w:rsidRDefault="00B05F0E" w:rsidP="00F72689">
            <w:pPr>
              <w:tabs>
                <w:tab w:val="left" w:pos="1605"/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97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8"/>
              <w:gridCol w:w="1134"/>
              <w:gridCol w:w="1134"/>
              <w:gridCol w:w="1134"/>
              <w:gridCol w:w="992"/>
              <w:gridCol w:w="851"/>
              <w:gridCol w:w="709"/>
            </w:tblGrid>
            <w:tr w:rsidR="00CA1058" w:rsidRPr="00BB5E7B" w:rsidTr="00B543E3">
              <w:trPr>
                <w:trHeight w:val="847"/>
              </w:trPr>
              <w:tc>
                <w:tcPr>
                  <w:tcW w:w="3778" w:type="dxa"/>
                  <w:vMerge w:val="restart"/>
                  <w:shd w:val="clear" w:color="000000" w:fill="F2DBDB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налоговых и неналоговых доходов</w:t>
                  </w:r>
                </w:p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000000" w:fill="F2DBDB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Исполнено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2022 год</w:t>
                  </w:r>
                </w:p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000000" w:fill="F2DBDB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Уточненный план на 2023 год</w:t>
                  </w:r>
                </w:p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000000" w:fill="F2DBDB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Исполнено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2023 год</w:t>
                  </w:r>
                </w:p>
              </w:tc>
              <w:tc>
                <w:tcPr>
                  <w:tcW w:w="1843" w:type="dxa"/>
                  <w:gridSpan w:val="2"/>
                  <w:shd w:val="clear" w:color="000000" w:fill="F2DBDB"/>
                </w:tcPr>
                <w:p w:rsidR="00CA1058" w:rsidRPr="00BE283C" w:rsidRDefault="00CA1058" w:rsidP="00CA1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Отклонение исполнения от уточненного плана</w:t>
                  </w:r>
                </w:p>
              </w:tc>
              <w:tc>
                <w:tcPr>
                  <w:tcW w:w="709" w:type="dxa"/>
                  <w:vMerge w:val="restart"/>
                  <w:shd w:val="clear" w:color="000000" w:fill="F2DBDB"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Уд. вес % (по исполнению)</w:t>
                  </w:r>
                </w:p>
              </w:tc>
            </w:tr>
            <w:tr w:rsidR="00CA1058" w:rsidRPr="00BB5E7B" w:rsidTr="00B543E3">
              <w:trPr>
                <w:trHeight w:val="70"/>
              </w:trPr>
              <w:tc>
                <w:tcPr>
                  <w:tcW w:w="3778" w:type="dxa"/>
                  <w:vMerge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1" w:type="dxa"/>
                  <w:shd w:val="clear" w:color="000000" w:fill="F2DBDB"/>
                </w:tcPr>
                <w:p w:rsidR="00CA1058" w:rsidRPr="00BE283C" w:rsidRDefault="00CA1058" w:rsidP="0096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09" w:type="dxa"/>
                  <w:vMerge/>
                  <w:shd w:val="clear" w:color="000000" w:fill="F2DBDB"/>
                </w:tcPr>
                <w:p w:rsidR="00CA1058" w:rsidRPr="00BE283C" w:rsidRDefault="00CA1058" w:rsidP="00BE28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1058" w:rsidRPr="00BB5E7B" w:rsidTr="00B543E3">
              <w:trPr>
                <w:trHeight w:val="142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НАЛОГОВЫЕ ДОХОДЫ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300 100,9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319 902,4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336 469,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16 567,2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69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93,2</w:t>
                  </w:r>
                </w:p>
              </w:tc>
            </w:tr>
            <w:tr w:rsidR="00CA1058" w:rsidRPr="00BB5E7B" w:rsidTr="00B543E3">
              <w:trPr>
                <w:trHeight w:val="341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264 006,0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277 379,5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91 398,4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14 018,9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уплаты акцизов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19 474,2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16 347,9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2 680,8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5,3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Налоги на совокупный доход, в том числе: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13 951,5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23 671,0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23 569,0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-102,0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Упрощенная система налогообложения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12 812,7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22 843,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22 839,0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6,3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налог на вмененный доход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-24,0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#ДЕЛ/0!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502,8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687,1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CA1058" w:rsidRPr="00BB5E7B" w:rsidTr="00B543E3">
              <w:trPr>
                <w:trHeight w:val="188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Патентная система налогообложения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622,1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66,9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-73,1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A1058" w:rsidRPr="00BB5E7B" w:rsidTr="00B543E3">
              <w:trPr>
                <w:trHeight w:val="138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2 669,2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2 504,0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2 473,6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-30,4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30 702,1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23 003,2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24 702,1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1 698,9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107,4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</w:tr>
            <w:tr w:rsidR="00CA1058" w:rsidRPr="00BB5E7B" w:rsidTr="00B543E3">
              <w:trPr>
                <w:trHeight w:val="765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собственности, в том числе: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16 388,9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13 688,2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14 878,3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1 190,1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4,1</w:t>
                  </w:r>
                </w:p>
              </w:tc>
            </w:tr>
            <w:tr w:rsidR="00CA1058" w:rsidRPr="00BB5E7B" w:rsidTr="00B543E3">
              <w:trPr>
                <w:trHeight w:val="51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Доходы, получаемые в виде арендной платы за земельные участки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13 121,4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11 625,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543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2 809,4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1 183,6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сдачи в аренду имущества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1 946,9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B543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-121,2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CA1058" w:rsidRPr="00BB5E7B" w:rsidTr="00B543E3">
              <w:trPr>
                <w:trHeight w:val="51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доходы от использования имущества и прав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1 320,6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1 472,0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B543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599,6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127,6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BA6903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690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507,0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534,0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819,0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hanging="392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CA1058" w:rsidRPr="00BB5E7B" w:rsidTr="00B543E3">
              <w:trPr>
                <w:trHeight w:val="51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1 645,5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45,5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102,8</w:t>
                  </w:r>
                </w:p>
              </w:tc>
              <w:tc>
                <w:tcPr>
                  <w:tcW w:w="709" w:type="dxa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CA1058" w:rsidRPr="00BB5E7B" w:rsidTr="00B543E3">
              <w:trPr>
                <w:trHeight w:val="51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2 964,2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5 242,0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5 397,0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155,0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709" w:type="dxa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реализации имущества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841,7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1 360,0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1 356,5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-3,5   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99,7</w:t>
                  </w:r>
                </w:p>
              </w:tc>
              <w:tc>
                <w:tcPr>
                  <w:tcW w:w="709" w:type="dxa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2 122,5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3 882,0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4 040,5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158,5   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104,1</w:t>
                  </w:r>
                </w:p>
              </w:tc>
              <w:tc>
                <w:tcPr>
                  <w:tcW w:w="709" w:type="dxa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1,1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2 798,8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1 201,5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1 225,7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24,2   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709" w:type="dxa"/>
                </w:tcPr>
                <w:p w:rsidR="00CA1058" w:rsidRPr="00CA1058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0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CA1058" w:rsidRPr="00BB5E7B" w:rsidTr="00B543E3">
              <w:trPr>
                <w:trHeight w:val="30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5 889,7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737,5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BE283C" w:rsidRDefault="00B543E3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736,7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-0,7   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BE283C" w:rsidRDefault="00CA1058" w:rsidP="00CA1058">
                  <w:pPr>
                    <w:spacing w:after="0" w:line="240" w:lineRule="auto"/>
                    <w:ind w:left="-108" w:firstLine="10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28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</w:p>
              </w:tc>
              <w:tc>
                <w:tcPr>
                  <w:tcW w:w="709" w:type="dxa"/>
                </w:tcPr>
                <w:p w:rsidR="00CA1058" w:rsidRPr="00BE283C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CA1058" w:rsidRPr="00BB5E7B" w:rsidTr="00B543E3">
              <w:trPr>
                <w:trHeight w:val="80"/>
              </w:trPr>
              <w:tc>
                <w:tcPr>
                  <w:tcW w:w="3778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330 803,0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342 905,6   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361 171,7   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18 266,1   </w:t>
                  </w:r>
                </w:p>
              </w:tc>
              <w:tc>
                <w:tcPr>
                  <w:tcW w:w="851" w:type="dxa"/>
                  <w:shd w:val="clear" w:color="auto" w:fill="auto"/>
                  <w:hideMark/>
                </w:tcPr>
                <w:p w:rsidR="00CA1058" w:rsidRPr="00F25064" w:rsidRDefault="00CA1058" w:rsidP="00CA1058">
                  <w:pPr>
                    <w:spacing w:after="0" w:line="240" w:lineRule="auto"/>
                    <w:ind w:left="-108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50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105,3</w:t>
                  </w:r>
                </w:p>
              </w:tc>
              <w:tc>
                <w:tcPr>
                  <w:tcW w:w="709" w:type="dxa"/>
                </w:tcPr>
                <w:p w:rsidR="00CA1058" w:rsidRPr="00F25064" w:rsidRDefault="00CA1058" w:rsidP="00CA105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CA1058" w:rsidRDefault="00CA1058" w:rsidP="00F72689">
            <w:pPr>
              <w:tabs>
                <w:tab w:val="left" w:pos="1605"/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89" w:rsidRPr="009809B6" w:rsidRDefault="00F72689" w:rsidP="00F72689">
            <w:pPr>
              <w:tabs>
                <w:tab w:val="left" w:pos="1605"/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>В структуре поступивших налоговых и неналоговых платежей наибольший удельный вес приходится на:</w:t>
            </w:r>
          </w:p>
          <w:p w:rsidR="00F72689" w:rsidRPr="009809B6" w:rsidRDefault="00F72689" w:rsidP="00F72689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                                  </w:t>
            </w:r>
            <w:r w:rsidR="000938CB" w:rsidRPr="009809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8CB" w:rsidRPr="009809B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268B" w:rsidRPr="009809B6" w:rsidRDefault="002B268B" w:rsidP="002B268B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                                                         6,5 %;</w:t>
            </w:r>
          </w:p>
          <w:p w:rsidR="00F72689" w:rsidRPr="009809B6" w:rsidRDefault="00F72689" w:rsidP="00F72689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Акцизы                                                                                              </w:t>
            </w:r>
            <w:r w:rsidR="002D28E3" w:rsidRPr="009809B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2D28E3" w:rsidRPr="009809B6" w:rsidRDefault="002D28E3" w:rsidP="00F72689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                                           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F72689" w:rsidRPr="009809B6" w:rsidRDefault="00F72689" w:rsidP="00F72689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Продажа материальных и нематериальных активов                    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F72689" w:rsidRPr="009809B6" w:rsidRDefault="00F72689" w:rsidP="00F72689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пошлина                                                              0,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:rsidR="002D28E3" w:rsidRPr="009809B6" w:rsidRDefault="002D28E3" w:rsidP="002D28E3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                                       0,</w:t>
            </w:r>
            <w:r w:rsidR="002B268B" w:rsidRPr="00980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B268B" w:rsidRPr="009809B6" w:rsidRDefault="002B268B" w:rsidP="002B268B">
            <w:pPr>
              <w:numPr>
                <w:ilvl w:val="0"/>
                <w:numId w:val="15"/>
              </w:numPr>
              <w:tabs>
                <w:tab w:val="clear" w:pos="1620"/>
                <w:tab w:val="left" w:pos="1605"/>
                <w:tab w:val="left" w:pos="7620"/>
              </w:tabs>
              <w:spacing w:after="0" w:line="240" w:lineRule="auto"/>
              <w:ind w:left="90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                                        0,3 %;</w:t>
            </w:r>
          </w:p>
          <w:p w:rsidR="00F72689" w:rsidRPr="009809B6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2689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Налоговые доходы</w:t>
            </w:r>
            <w:r w:rsidRPr="00980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исполнены на сумму </w:t>
            </w:r>
            <w:r w:rsidR="000F16CB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336 469,6 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 или </w:t>
            </w:r>
            <w:r w:rsidR="000F16CB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>105,2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бюджетных назначений. </w:t>
            </w:r>
            <w:r w:rsidR="009809B6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>Выше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 налоговых доходов </w:t>
            </w:r>
            <w:r w:rsidR="00BB5E7B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на </w:t>
            </w:r>
            <w:r w:rsidR="009809B6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>36 368,7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</w:t>
            </w:r>
            <w:r w:rsidR="009809B6"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>12,1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%.</w:t>
            </w:r>
          </w:p>
          <w:p w:rsidR="000534BB" w:rsidRPr="000534BB" w:rsidRDefault="009809B6" w:rsidP="000534BB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Положительная динамика к уровню прошлого года обеспечена по следующим доходным источникам, таким как НДФЛ (прирост поступлений составил 27 </w:t>
            </w:r>
            <w:r w:rsidR="000534BB">
              <w:rPr>
                <w:rFonts w:ascii="Times New Roman" w:hAnsi="Times New Roman" w:cs="Times New Roman"/>
                <w:bCs/>
                <w:sz w:val="24"/>
                <w:szCs w:val="24"/>
              </w:rPr>
              <w:t>392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10,4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единый налог, взимаемый в связи с применением упрощенной системы налогообложения (далее - УСН) (прирост поступлений составил 10 026 тыс. руб. или в 1,8 раза), единый сельскохозяйственный налог (прирост поступлений составил </w:t>
            </w:r>
            <w:r w:rsidR="000534BB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36,6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1F04D8" w:rsidRPr="001F04D8" w:rsidRDefault="009809B6" w:rsidP="001F04D8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этом, отмечено снижение поступлений по налогу, взимаемому в связи с применением патентной системы налогообложения (далее – ПСН) на 555 тыс. руб. или 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9,3 раза и </w:t>
            </w:r>
            <w:r w:rsidR="001F04D8" w:rsidRPr="001F04D8">
              <w:rPr>
                <w:rFonts w:ascii="Times New Roman" w:hAnsi="Times New Roman" w:cs="Times New Roman"/>
                <w:bCs/>
                <w:sz w:val="24"/>
                <w:szCs w:val="24"/>
              </w:rPr>
              <w:t>по доходам от уплаты акцизов на нефтепродукты на 445 тыс. руб. или на 2,3%.</w:t>
            </w:r>
          </w:p>
          <w:p w:rsidR="000F16CB" w:rsidRPr="000F16CB" w:rsidRDefault="000203F4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F16CB" w:rsidRPr="000F16CB">
              <w:rPr>
                <w:rFonts w:ascii="Times New Roman" w:hAnsi="Times New Roman" w:cs="Times New Roman"/>
                <w:b/>
                <w:sz w:val="24"/>
                <w:szCs w:val="24"/>
              </w:rPr>
              <w:t>нализ поступления доходов, администрируемых ФНС России, зачисляемых в бюджет МО МР «Корткеросский» в разрезе налогов, показал следующее.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b/>
                <w:sz w:val="24"/>
                <w:szCs w:val="24"/>
              </w:rPr>
              <w:t>НДФЛ.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поступления составили </w:t>
            </w:r>
            <w:r w:rsidR="001F04D8">
              <w:rPr>
                <w:rFonts w:ascii="Times New Roman" w:hAnsi="Times New Roman" w:cs="Times New Roman"/>
                <w:sz w:val="24"/>
                <w:szCs w:val="24"/>
              </w:rPr>
              <w:t>291 398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по сравнению с аналогичным периодом прошлого года больше на 27 </w:t>
            </w:r>
            <w:r w:rsidR="001F04D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на 10,4 </w:t>
            </w:r>
            <w:r w:rsidR="009809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Согласно данным Территориального органа Федеральной службы государственной статистики по Республике Коми за январь -</w:t>
            </w:r>
            <w:r w:rsidRPr="000F16CB">
              <w:rPr>
                <w:sz w:val="24"/>
                <w:szCs w:val="24"/>
              </w:rPr>
              <w:t xml:space="preserve"> 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года, темп фонда начисленной заработной платы работникам по МО МР «Корткеросский» составляет 107,5 </w:t>
            </w:r>
            <w:r w:rsidR="009809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Таким образом, темп поступлений НДФЛ на 2,9 процентных пункта выше темпа фонда начисленной заработной платы за счет следующих факторов: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- введение с 29.05.2023 первоочередного порядка зачета денежных средств с ЕНС в счет НДФЛ и изменение с 30.06.2023 зачета денежных средств с ЕНС на НДФЛ в счет предстоящих платежей (до наступления срока уплаты) при положительном сальдо ЕНС и поданном уведомлении об исчисленных суммах налога по авансовым платежам (Федеральный закон от 29.05.2023 № 196-ФЗ «О внесении изменений в часть первую Налогового кодекса Российской Федерации»);</w:t>
            </w:r>
          </w:p>
          <w:p w:rsid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- рост поступлений на 7 317 тыс. руб. или в 1,5 раза за счет роста НДФЛ с выплаченных дивидендов по налогоплательщику, занятому в сфере «Распиловка и строгание древесины».</w:t>
            </w:r>
          </w:p>
          <w:p w:rsidR="00BF02EC" w:rsidRDefault="00BF02EC" w:rsidP="00BF02E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 по подакцизным товарам (доходы от уплаты акцизов)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F02EC" w:rsidRPr="00BF02EC" w:rsidRDefault="00BF02EC" w:rsidP="00BF02EC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2023 год поступили в сумме 19 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029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что с увеличением к плану за отчетный период на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 680,8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или на 11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>,4%, и с у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меньшением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аналогичному периоду прошлого года на 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445,5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или на </w:t>
            </w:r>
            <w:r w:rsidR="001F04D8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</w:t>
            </w:r>
            <w:r w:rsidR="00BA4F40" w:rsidRPr="00BA4F40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поступлений обусловлено снижением объемов реализации автомобильного бензина на 4,6% при индексации налоговой ставки на 4%</w:t>
            </w:r>
            <w:r w:rsidRPr="00BF02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4F40">
              <w:t xml:space="preserve">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b/>
                <w:sz w:val="24"/>
                <w:szCs w:val="24"/>
              </w:rPr>
              <w:t>УСН.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поступило 22 839 тыс. руб., поступления по сравнению с аналогичным периодом прошлого года увеличились на 10 026 тыс. руб. или в 1,8 раза.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Основными факторами, оказывающими влияние на рост поступлений, являются: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- увеличение с 01.01.2023 года норматива отчислений доходов от уплаты УСН в местный бюджет с 50% до 100% в соответствии с Законом Республики Коми от 04.07.2022 № 53-РЗ «О внесении изменений в Закон Республики Коми «О бюджетной системе и бюджетном процессе в Республике Коми» и приостановлении действия отдельных положений Закона Республики Коми «О бюджетной системе и бюджетном процессе в Республике Коми»;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с 01.01.2023 налогового законодательства в части представления уведомлений об исчисленных суммах авансовых платежей по налогу, а также работа 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органов по информированию налогоплательщиков об их представлении;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- темп роста инфляции (105,7% за январь-ноябрь 2023 года).</w:t>
            </w:r>
            <w:r w:rsidRPr="000F16CB">
              <w:rPr>
                <w:sz w:val="24"/>
                <w:szCs w:val="24"/>
              </w:rPr>
              <w:t xml:space="preserve">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При этом, отмечено снижение поступлений на 5 563 тыс. руб. в связи с уменьшением налогооблагаемой базы по итогам 2022 года по налогоплательщику с видом деятельности «Торговля розничная скобяными изделиями, лакокрасочными материалами и стеклом в специализированных магазинах». </w:t>
            </w:r>
            <w:r w:rsidRPr="000F16CB">
              <w:rPr>
                <w:sz w:val="24"/>
                <w:szCs w:val="24"/>
              </w:rPr>
              <w:t xml:space="preserve">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налог.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16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 2023 год поступление составило </w:t>
            </w:r>
            <w:r w:rsidR="00BA4F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687</w:t>
            </w:r>
            <w:r w:rsidRPr="000F16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тыс. руб., что больше по сравнению с аналогичным периодом прошлого года на </w:t>
            </w:r>
            <w:r w:rsidR="000203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184</w:t>
            </w:r>
            <w:r w:rsidRPr="000F16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тыс. руб. или на 36,6 </w:t>
            </w:r>
            <w:r w:rsidR="009809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  <w:r w:rsidRPr="000F16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0F16CB">
              <w:rPr>
                <w:sz w:val="24"/>
                <w:szCs w:val="24"/>
              </w:rPr>
              <w:t xml:space="preserve"> </w:t>
            </w:r>
            <w:r w:rsidRPr="000F16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Увеличение поступлений обусловлено уплатой налога за 2022 год и авансового платежа за 2023 год организацией в сфере деятельности «Разведение молочного крупного рогатого скота, производство сырого молока» (в 2022 году платежи отсутствовали в связи с отсутствием налоговой базы по причине заявленных убытков прошлых лет).  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b/>
                <w:sz w:val="24"/>
                <w:szCs w:val="24"/>
              </w:rPr>
              <w:t>ПСН.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поступления составили 67 тыс. руб. и снизились относительно аналогичного периода прошлого года на 555 тыс. руб. или в 9,3 раза. 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Снижение поступлений по налогу объясняется следующим: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- зачет положительного сальдо на ЕНС, образовавшегося в результате перерасчетов по представленным уведомлениям (в том числе в конце декабря 2022 года) об уменьшении суммы налога на сумму </w:t>
            </w:r>
            <w:r w:rsidR="000203F4" w:rsidRPr="000F16CB">
              <w:rPr>
                <w:rFonts w:ascii="Times New Roman" w:hAnsi="Times New Roman" w:cs="Times New Roman"/>
                <w:sz w:val="24"/>
                <w:szCs w:val="24"/>
              </w:rPr>
              <w:t>уплаченных страховых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 взносов;</w:t>
            </w:r>
          </w:p>
          <w:p w:rsidR="000F16CB" w:rsidRP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>- с 01.01.2023 года производится уменьшение ПСН на сумму фиксированных страховых взносов и страховых взносов на ОПС в размере 1% с доходов, превышающих 300 тыс. руб., до их фактической уплаты в календарном году действия патента (ранее индивидуальные предприниматели (далее – ИП) могли уменьшить налог по ПСН только на фактически уплаченные страховые взносы в соответствующем налоговом периоде страховые взносы). При этом, если после 31.12.2022 ИП оплатил фиксированные страховые взносы за периоды, предшествующие 2023 году, то он также может уменьшить налог и на уплаченные в виде задолженности страховые взносы (Федеральный закон от 31.07.2023 №389-ФЗ);</w:t>
            </w:r>
          </w:p>
          <w:p w:rsidR="000F16CB" w:rsidRDefault="000F16CB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в 2023 году сумм досрочной уплаты по налогу. В 2022 году, при осуществлении индивидуальным предпринимателем досрочной уплаты, налог поступал в бюджеты до наступления срока уплаты, а в 2023 году при досрочной уплате по налогу, перечисление налога в бюджет производится после наступления срока уплаты. Так, если патент </w:t>
            </w:r>
            <w:r w:rsidR="000203F4" w:rsidRPr="000F16CB">
              <w:rPr>
                <w:rFonts w:ascii="Times New Roman" w:hAnsi="Times New Roman" w:cs="Times New Roman"/>
                <w:sz w:val="24"/>
                <w:szCs w:val="24"/>
              </w:rPr>
              <w:t>получен на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 срок от шести месяцев до календарного года на 2023 год, уплату налога в размере 2/3 суммы налога необходимо было произвести в срок не позднее срока окончания действия патента (31 декабря). В связи с тем, что дата уплаты выпадает на нерабочий день 31.12.2023, срок уплаты - 09.01.2024, </w:t>
            </w:r>
            <w:r w:rsidR="000203F4" w:rsidRPr="000F16CB">
              <w:rPr>
                <w:rFonts w:ascii="Times New Roman" w:hAnsi="Times New Roman" w:cs="Times New Roman"/>
                <w:sz w:val="24"/>
                <w:szCs w:val="24"/>
              </w:rPr>
              <w:t>соответственно, суммы</w:t>
            </w:r>
            <w:r w:rsidRPr="000F16CB">
              <w:rPr>
                <w:rFonts w:ascii="Times New Roman" w:hAnsi="Times New Roman" w:cs="Times New Roman"/>
                <w:sz w:val="24"/>
                <w:szCs w:val="24"/>
              </w:rPr>
              <w:t xml:space="preserve"> налога поступили в бюджет в январе 2024 года.</w:t>
            </w:r>
          </w:p>
          <w:p w:rsidR="000203F4" w:rsidRPr="000203F4" w:rsidRDefault="000203F4" w:rsidP="000203F4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Поступления за счет уплаты </w:t>
            </w:r>
            <w:r w:rsidRPr="000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пошлины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ниже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 2022 года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или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Прогноз выполнен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поступлений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бусловлено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снижением</w:t>
            </w:r>
            <w:r w:rsidRPr="0002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обращений граждан в суд.</w:t>
            </w:r>
          </w:p>
          <w:p w:rsidR="000203F4" w:rsidRPr="000F16CB" w:rsidRDefault="000203F4" w:rsidP="000F16C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89" w:rsidRPr="00961F74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F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Неналоговые доходы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BB5E7B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поступили в сумме </w:t>
            </w:r>
            <w:r w:rsidR="00961F74" w:rsidRPr="0096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24 702 т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ыс. руб. или </w:t>
            </w:r>
            <w:r w:rsidR="00961F74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107,4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% от бюджетных назначений, что меньше, чем за аналогичный период прошлого года на 6 </w:t>
            </w:r>
            <w:r w:rsidR="00961F74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1</w:t>
            </w:r>
            <w:r w:rsidR="00961F74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,5%.  (в </w:t>
            </w:r>
            <w:r w:rsidR="00BB5E7B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неналоговые доходы составляли в сумме </w:t>
            </w:r>
            <w:r w:rsidR="00961F74"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>30 702</w:t>
            </w:r>
            <w:r w:rsidRPr="00961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руб.)</w:t>
            </w:r>
          </w:p>
          <w:p w:rsidR="00752062" w:rsidRPr="00007EEB" w:rsidRDefault="00752062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2689" w:rsidRPr="00EC24AA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составили </w:t>
            </w:r>
            <w:r w:rsidR="00155B2C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14 878 тыс. руб., что ниже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уровня </w:t>
            </w:r>
            <w:r w:rsidR="00BB5E7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на </w:t>
            </w:r>
            <w:r w:rsidR="00155B2C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1 511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</w:t>
            </w:r>
            <w:r w:rsidR="00155B2C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%. Прогноз выполнен на 10</w:t>
            </w:r>
            <w:r w:rsidR="00155B2C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 </w:t>
            </w:r>
            <w:r w:rsidR="008A78F5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 за земельные участки по состоянию на 01.01.2024 </w:t>
            </w:r>
            <w:r w:rsidR="00007EE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года, составили 12 809</w:t>
            </w:r>
            <w:r w:rsidR="008A78F5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по сравнению с аналогичным показателем 202</w:t>
            </w:r>
            <w:r w:rsidR="00B543E3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7EE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уменьшились на 312</w:t>
            </w:r>
            <w:r w:rsidR="008A78F5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Причиной уменьшения поступления в бюджет послужило уменьшение кадастровой стоимости земельных участков в 2023 году.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8A78F5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меньшились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B543E3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 поступления от аренды имущества по 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сравнению</w:t>
            </w:r>
            <w:r w:rsidR="00F3432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432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аналогичным периодом прошлого года</w:t>
            </w:r>
            <w:r w:rsidR="00B543E3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 </w:t>
            </w:r>
            <w:r w:rsidR="00007EE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 w:rsidR="00F3432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, что обусловлено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поступлением </w:t>
            </w:r>
            <w:r w:rsidR="00F3432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задолженности прошлых лет юридических лиц (от АО «КТК» в сумме</w:t>
            </w:r>
            <w:r w:rsidR="00007EEB"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1 147</w:t>
            </w:r>
            <w:r w:rsidR="00990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руб.), а также наличием задолженности от них в 2023 году. </w:t>
            </w:r>
            <w:r w:rsidRPr="00007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уменьшения задолженности по арендной плате проводится </w:t>
            </w:r>
            <w:r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претензионная работа с неплательщиками. </w:t>
            </w:r>
          </w:p>
          <w:p w:rsidR="00F72689" w:rsidRPr="00D2441C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Платежи за негативное воздействие на окружающую среду </w:t>
            </w:r>
            <w:r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поступили в сумме </w:t>
            </w:r>
            <w:r w:rsidR="00EC24AA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  <w:r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прогноз выполнен на </w:t>
            </w:r>
            <w:r w:rsidR="00EC24AA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>153,4</w:t>
            </w:r>
            <w:r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По сравнению с </w:t>
            </w:r>
            <w:r w:rsidR="00BB5E7B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годом поступления увеличились</w:t>
            </w:r>
            <w:r w:rsidR="00F4333B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3</w:t>
            </w:r>
            <w:r w:rsidR="00EC24AA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4333B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или на </w:t>
            </w:r>
            <w:r w:rsidR="00EC24AA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  <w:r w:rsidR="00F4333B" w:rsidRPr="00EC24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в связи с поступлением задолженности </w:t>
            </w:r>
            <w:r w:rsidR="00F4333B"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>прошлых лет</w:t>
            </w:r>
            <w:r w:rsidR="004253AC"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</w:t>
            </w:r>
            <w:r w:rsidR="00F4333B"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Платежи поступают согласно прогнозу межрегионального управления </w:t>
            </w:r>
            <w:proofErr w:type="spellStart"/>
            <w:r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6D2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Республике Коми.</w:t>
            </w:r>
          </w:p>
          <w:p w:rsidR="00F72689" w:rsidRPr="00D2441C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по сравнению с аналогичным периодом предыдущего года наблюдается </w:t>
            </w:r>
            <w:r w:rsidRPr="00D2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доходам от компенсации затрат государства</w:t>
            </w:r>
            <w:r w:rsidR="00EC24AA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116E3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23,6</w:t>
            </w:r>
            <w:r w:rsidR="00EC24AA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% или на 805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что обусловлено перечислением в </w:t>
            </w:r>
            <w:r w:rsidR="00BB5E7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возврата остатков субсидий прошлых лет по акту проверки (МУП «Успех»)</w:t>
            </w:r>
            <w:r w:rsidR="00116E3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сумме 400 тыс.</w:t>
            </w:r>
            <w:r w:rsidR="00E73C28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рублей, </w:t>
            </w:r>
            <w:r w:rsidR="001C51BE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уменьшением количества арендаторов, а также связи с неоплатой организациями расходов по коммунальным услугам (Минюст в сумме 125 тыс. рублей).</w:t>
            </w:r>
          </w:p>
          <w:p w:rsidR="00F72689" w:rsidRPr="00D2441C" w:rsidRDefault="00F72689" w:rsidP="00F72689">
            <w:pPr>
              <w:tabs>
                <w:tab w:val="left" w:pos="76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поступили в сумме </w:t>
            </w:r>
            <w:r w:rsidR="00F3432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5 </w:t>
            </w:r>
            <w:r w:rsidR="00007EE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397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 исполнены на </w:t>
            </w:r>
            <w:r w:rsidR="00007EEB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103%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сравнению с аналогичным показателем </w:t>
            </w:r>
            <w:r w:rsidR="00BB5E7B"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</w:t>
            </w:r>
            <w:r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</w:t>
            </w:r>
            <w:r w:rsidR="00F3432B"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рост</w:t>
            </w:r>
            <w:r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составил </w:t>
            </w:r>
            <w:r w:rsidR="00F3432B"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</w:t>
            </w:r>
            <w:r w:rsidR="00007EEB"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433</w:t>
            </w:r>
            <w:r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тыс. руб. или </w:t>
            </w:r>
            <w:r w:rsidR="00F3432B"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</w:t>
            </w:r>
            <w:r w:rsidRPr="00D244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%. </w:t>
            </w:r>
          </w:p>
          <w:p w:rsidR="00FD2652" w:rsidRPr="00D2441C" w:rsidRDefault="00FD2652" w:rsidP="00FD265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продажи земельных участков в 2023 году составили 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4 040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по сравнению с аналогичным показателем 2022 года увеличение составило на 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1 918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 Доходы от реализации иного имущества по состоянию на 01.01.202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года составили 1 357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по сравнению с аналогичным показателем 2022 года рос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составил на 51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</w:t>
            </w:r>
            <w:r w:rsidR="00007EE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руб. Причиной увеличения продажи земельных участков и иного имущества изменение (уменьшение) кадастровой стоимости в 2023 году. </w:t>
            </w:r>
          </w:p>
          <w:p w:rsidR="00FD2652" w:rsidRPr="00D2441C" w:rsidRDefault="00FD2652" w:rsidP="00FD265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2023 году было проведено 10 аукционов по продаже земельных участков и аукционов на право заключения договоров аренды земельных участков, всего на аукционы было выставлено 15 земельных участков. По результатам проведенных аукционов заключено 13 договоров аренды земельных участков с общей годовой арендной платой в размере 1,18 млн. руб. (в том числе заключено 8 договоров аренды для строительства многоквартирных жилых домов, 3 договора аренды для предпринимательской деятельности, 2 договора аренды для ведения личного подсобного хозяйства). </w:t>
            </w:r>
          </w:p>
          <w:p w:rsidR="00FD2652" w:rsidRPr="00D2441C" w:rsidRDefault="00FD2652" w:rsidP="00FD265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исполнения плана (</w:t>
            </w:r>
            <w:r w:rsidR="00EC24AA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программы) приватизации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имущества проведено 5 аукционов, выставлено 9 лотов, по результатам которых продано 3 нежилых помещения (с. Корткерос), жилое здание с земельным участком (с. </w:t>
            </w:r>
            <w:proofErr w:type="spellStart"/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Вомын</w:t>
            </w:r>
            <w:proofErr w:type="spellEnd"/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нежилое здание с земельным участком (п. </w:t>
            </w:r>
            <w:proofErr w:type="spellStart"/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Аджером</w:t>
            </w:r>
            <w:proofErr w:type="spellEnd"/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2 лодочных мотора, специализированный транспорт – мусоровоз. Общая сумма дохода от продажи муниципального имущества на торгах составила 1,</w:t>
            </w:r>
            <w:r w:rsidR="00EC24AA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млн. руб. </w:t>
            </w:r>
          </w:p>
          <w:p w:rsidR="00F3432B" w:rsidRPr="00D2441C" w:rsidRDefault="00F3432B" w:rsidP="00F3432B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Поступления </w:t>
            </w:r>
            <w:r w:rsidR="009A1934" w:rsidRPr="00D2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денежным взысканиям (штрафам</w:t>
            </w:r>
            <w:r w:rsidRPr="00D2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составили </w:t>
            </w:r>
            <w:r w:rsidR="00FC0F60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1 225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что на </w:t>
            </w:r>
            <w:r w:rsidR="00FC0F60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1 573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 или на </w:t>
            </w:r>
            <w:r w:rsidR="00FC0F60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56,2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% меньше, чем в прошлом году (</w:t>
            </w:r>
            <w:r w:rsidR="00FC0F60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2 798,8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рублей). Основная причина – в 202</w:t>
            </w:r>
            <w:r w:rsidR="00FC0F60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</w:t>
            </w:r>
            <w:r w:rsidR="0056367A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произошел возврат </w:t>
            </w:r>
            <w:r w:rsidR="009A1934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ошибочных платежей по иным штрафам, уплаченные при неисполнении обязательств</w:t>
            </w:r>
            <w:r w:rsidR="0056367A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1934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перед муниципальным органом.</w:t>
            </w:r>
          </w:p>
          <w:p w:rsidR="00F3432B" w:rsidRPr="00D2441C" w:rsidRDefault="00F3432B" w:rsidP="00F3432B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Причиной </w:t>
            </w:r>
            <w:r w:rsidR="001607E8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снижения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прочих неналоговых доходов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обусловлено поступлением </w:t>
            </w:r>
            <w:r w:rsidR="001607E8"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</w:t>
            </w:r>
            <w:r w:rsidRPr="00D2441C">
              <w:rPr>
                <w:rFonts w:ascii="Times New Roman" w:hAnsi="Times New Roman" w:cs="Times New Roman"/>
                <w:bCs/>
                <w:sz w:val="24"/>
                <w:szCs w:val="24"/>
              </w:rPr>
              <w:t>в бюджет района платежей от вырубки зеленых насаждений в сумме 5 800 тыс. рублей.</w:t>
            </w:r>
          </w:p>
          <w:p w:rsidR="00F72689" w:rsidRPr="00D2441C" w:rsidRDefault="00F72689" w:rsidP="00F72689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70" w:rsidRPr="00D2441C" w:rsidRDefault="004C2370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D244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безвозмездных поступлений</w:t>
            </w: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</w:t>
            </w:r>
            <w:r w:rsidR="009A1934" w:rsidRPr="00D2441C">
              <w:rPr>
                <w:rFonts w:ascii="Times New Roman" w:hAnsi="Times New Roman" w:cs="Times New Roman"/>
                <w:sz w:val="24"/>
                <w:szCs w:val="24"/>
              </w:rPr>
              <w:t>1 719 152,5</w:t>
            </w: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</w:t>
            </w:r>
            <w:r w:rsidR="009A1934" w:rsidRPr="00D244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% к годовому плану.</w:t>
            </w:r>
          </w:p>
          <w:p w:rsidR="00535DD1" w:rsidRPr="00D2441C" w:rsidRDefault="00535DD1" w:rsidP="00535DD1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течение </w:t>
            </w:r>
            <w:r w:rsidR="00BB5E7B"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D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параметры бюджета в части безвозмездных поступлений изменились следующим образом: </w:t>
            </w:r>
          </w:p>
          <w:p w:rsidR="00535DD1" w:rsidRPr="00D2441C" w:rsidRDefault="00535DD1" w:rsidP="00535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85F56" w:rsidRPr="00D24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D24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  <w:tbl>
            <w:tblPr>
              <w:tblW w:w="9447" w:type="dxa"/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134"/>
              <w:gridCol w:w="1276"/>
              <w:gridCol w:w="1275"/>
              <w:gridCol w:w="1134"/>
              <w:gridCol w:w="709"/>
              <w:gridCol w:w="1275"/>
              <w:gridCol w:w="709"/>
            </w:tblGrid>
            <w:tr w:rsidR="00D2441C" w:rsidRPr="00D2441C" w:rsidTr="00D2441C">
              <w:trPr>
                <w:trHeight w:val="217"/>
              </w:trPr>
              <w:tc>
                <w:tcPr>
                  <w:tcW w:w="1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Первоначальный план (на </w:t>
                  </w: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01.01.</w:t>
                  </w:r>
                  <w:r w:rsidR="00BB5E7B"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2023</w:t>
                  </w: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Уточненный план (на 31.12.</w:t>
                  </w:r>
                  <w:r w:rsidR="00BB5E7B"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2023</w:t>
                  </w: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г.)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Исполнено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Отклонение уточненного плана от </w:t>
                  </w: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первоначального плана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Отклонение исполнения от уточненного плана</w:t>
                  </w:r>
                </w:p>
              </w:tc>
            </w:tr>
            <w:tr w:rsidR="00D2441C" w:rsidRPr="00D2441C" w:rsidTr="00D2441C">
              <w:trPr>
                <w:trHeight w:val="328"/>
              </w:trPr>
              <w:tc>
                <w:tcPr>
                  <w:tcW w:w="1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  <w:hideMark/>
                </w:tcPr>
                <w:p w:rsidR="00185F56" w:rsidRPr="00D2441C" w:rsidRDefault="00185F56" w:rsidP="00185F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2441C" w:rsidRPr="00D2441C" w:rsidTr="00D2441C">
              <w:trPr>
                <w:trHeight w:val="30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1 298 891,3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1 861 588,0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1 719 152,5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562 696,6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-142 435,5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92,3</w:t>
                  </w:r>
                </w:p>
              </w:tc>
            </w:tr>
            <w:tr w:rsidR="00D2441C" w:rsidRPr="00D2441C" w:rsidTr="00D2441C">
              <w:trPr>
                <w:trHeight w:val="362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155 194,9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159 246,7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159 246,7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4 051,8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D2441C" w:rsidRPr="00D2441C" w:rsidTr="00D2441C">
              <w:trPr>
                <w:trHeight w:val="30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594 092,3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1 099 934,7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958 892,5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505 842,3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-141 042,2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87,2</w:t>
                  </w:r>
                </w:p>
              </w:tc>
            </w:tr>
            <w:tr w:rsidR="00D2441C" w:rsidRPr="00D2441C" w:rsidTr="00D2441C">
              <w:trPr>
                <w:trHeight w:val="30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524 333,7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554 140,2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553 267,9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29 806,5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-872,3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99,8</w:t>
                  </w:r>
                </w:p>
              </w:tc>
            </w:tr>
            <w:tr w:rsidR="00D2441C" w:rsidRPr="00D2441C" w:rsidTr="00D2441C">
              <w:trPr>
                <w:trHeight w:val="525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25 270,4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41 257,5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40 557,5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15 987,1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98,3</w:t>
                  </w:r>
                </w:p>
              </w:tc>
            </w:tr>
            <w:tr w:rsidR="00D2441C" w:rsidRPr="00D2441C" w:rsidTr="00D2441C">
              <w:trPr>
                <w:trHeight w:val="525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7 105,4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7 284,5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7 105,4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102,5</w:t>
                  </w:r>
                </w:p>
              </w:tc>
            </w:tr>
            <w:tr w:rsidR="00D2441C" w:rsidRPr="00D2441C" w:rsidTr="00D2441C">
              <w:trPr>
                <w:trHeight w:val="78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44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доходы от возврата бюджетами и организациями остатков субсидий, субвенций и иных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441C" w:rsidRPr="00D2441C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4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335F18" w:rsidRPr="00335F18" w:rsidTr="00D2441C">
              <w:trPr>
                <w:trHeight w:val="780"/>
              </w:trPr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2441C" w:rsidRPr="00335F18" w:rsidRDefault="00D2441C" w:rsidP="00D24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5F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Возврат остатков субсидий, субвенций и иных МБТ,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-104,0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441C" w:rsidRPr="00335F18" w:rsidRDefault="00D2441C" w:rsidP="00D2441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5F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4C2370" w:rsidRPr="00335F18" w:rsidRDefault="004C2370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>Меньше запланированного пос</w:t>
            </w:r>
            <w:r w:rsidR="00A85A73" w:rsidRPr="00335F18">
              <w:rPr>
                <w:rFonts w:ascii="Times New Roman" w:hAnsi="Times New Roman" w:cs="Times New Roman"/>
                <w:sz w:val="24"/>
                <w:szCs w:val="24"/>
              </w:rPr>
              <w:t>тупили средства других бюджетов</w:t>
            </w: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370" w:rsidRPr="00335F18" w:rsidRDefault="004C2370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на обеспечение мероприятий по переселению граждан из аварийного жилищного фонда – на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>140 867,1</w:t>
            </w: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371B4" w:rsidRPr="00335F18" w:rsidRDefault="000371B4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на организацию транспортного обслуживания населения по муниципальным маршрутам регулярных перевозок пассажиров и багажа автомобильным транспортом – на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  <w:r w:rsidR="00A85A73"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231E7" w:rsidRPr="00335F18" w:rsidRDefault="000231E7" w:rsidP="000231E7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субсидии на оплату муниципальными учреждениями расходов за энергетические ресурсы – на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231E7" w:rsidRPr="00335F18" w:rsidRDefault="000231E7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субвенции 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 – на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C2370" w:rsidRPr="00335F18" w:rsidRDefault="000231E7" w:rsidP="004C2370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субвенции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– на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>792,7</w:t>
            </w: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231E7" w:rsidRPr="00906034" w:rsidRDefault="000231E7" w:rsidP="000231E7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- иные межбюджетные трансферты </w:t>
            </w:r>
            <w:r w:rsidR="00335F18" w:rsidRPr="00335F18">
              <w:rPr>
                <w:rFonts w:ascii="Times New Roman" w:hAnsi="Times New Roman" w:cs="Times New Roman"/>
                <w:sz w:val="24"/>
                <w:szCs w:val="24"/>
              </w:rPr>
              <w:t xml:space="preserve">имеющие целевое назначение, на осуществление выплат лицам, принимающим участие в период с 1 июня 2023 г. по 31 декабря 2023 г. в информационно-агитационных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</w:t>
            </w:r>
            <w:r w:rsidR="00335F18"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включенным в списки агитационных групп (распоряжение Правительства Республики Коми от 14 июля 2023 г. № 359-р) 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335F18" w:rsidRPr="0090603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F72689" w:rsidRPr="00906034" w:rsidRDefault="00F72689" w:rsidP="00F72689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безвозмездных поступлений в </w:t>
            </w:r>
            <w:r w:rsidR="00BB5E7B" w:rsidRPr="009060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году к уровню </w:t>
            </w:r>
            <w:r w:rsidR="00BB5E7B" w:rsidRPr="009060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года возрос на 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% или на 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309 790,9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</w:t>
            </w:r>
            <w:r w:rsidR="00906034">
              <w:rPr>
                <w:rFonts w:ascii="Times New Roman" w:hAnsi="Times New Roman" w:cs="Times New Roman"/>
                <w:sz w:val="24"/>
                <w:szCs w:val="24"/>
              </w:rPr>
              <w:t>счет увеличения объема выделенной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дотаци</w:t>
            </w:r>
            <w:r w:rsidR="009060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1 822,3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>%), субсидий (+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402 524,9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на 7</w:t>
            </w:r>
            <w:r w:rsidR="00EE4D3A" w:rsidRPr="0090603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>%), субвенций (+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35 797,9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на 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>%) и иных МБТ (+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7 834,3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или 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снижени</w:t>
            </w:r>
            <w:r w:rsidR="009060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безвозмездных поступлений за счет средств </w:t>
            </w:r>
            <w:proofErr w:type="spellStart"/>
            <w:r w:rsidRPr="00906034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СЛПК (на </w:t>
            </w:r>
            <w:r w:rsidR="00D31CA3" w:rsidRPr="0090603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846204" w:rsidRPr="00906034">
              <w:rPr>
                <w:rFonts w:ascii="Times New Roman" w:hAnsi="Times New Roman" w:cs="Times New Roman"/>
                <w:sz w:val="24"/>
                <w:szCs w:val="24"/>
              </w:rPr>
              <w:t> 089,9</w:t>
            </w:r>
            <w:r w:rsidRPr="009060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руб.) </w:t>
            </w:r>
          </w:p>
          <w:p w:rsidR="00F72689" w:rsidRPr="00906034" w:rsidRDefault="00F72689" w:rsidP="00F72689">
            <w:pPr>
              <w:tabs>
                <w:tab w:val="left" w:pos="7620"/>
              </w:tabs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муниципального района «Корткеросский» в </w:t>
            </w:r>
            <w:r w:rsidR="00BB5E7B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перечислено межбюджетных трансфертов бюджетам поселений на общую сумму </w:t>
            </w:r>
            <w:r w:rsidR="00906034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84 537,6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F72689" w:rsidRPr="00906034" w:rsidRDefault="00F72689" w:rsidP="00F72689">
            <w:pPr>
              <w:tabs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дотации на выравнивание бюджетной обеспеченности в сумме </w:t>
            </w:r>
            <w:r w:rsidR="00CE5BC7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18 345,1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за счет субвенции, предоставленной из республиканского бюджета Республики Коми в сумме </w:t>
            </w:r>
            <w:r w:rsidR="00CE5BC7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538,2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72689" w:rsidRPr="00906034" w:rsidRDefault="00F72689" w:rsidP="00F72689">
            <w:pPr>
              <w:tabs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субвенции на 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6 статьи 1 и статьей 3, статьями 2 и 2(1) Закона Республики «Об административной ответственности в Республике Коми» в сумме </w:t>
            </w:r>
            <w:r w:rsidR="00CE5BC7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474,9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F72689" w:rsidRPr="00906034" w:rsidRDefault="00F72689" w:rsidP="00F72689">
            <w:pPr>
              <w:tabs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иных межбюджетных трансфертов в сумме </w:t>
            </w:r>
            <w:r w:rsidR="00CE5BC7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r w:rsidR="00906034"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717,6</w:t>
            </w:r>
            <w:r w:rsidRPr="00906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73A84" w:rsidRPr="00BB5E7B" w:rsidRDefault="00573A84" w:rsidP="00C64FF9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87384" w:rsidRPr="00BB5E7B" w:rsidRDefault="00187384" w:rsidP="00187384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E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 об исполнении бюджета по расходам</w:t>
            </w:r>
          </w:p>
          <w:p w:rsidR="00187384" w:rsidRPr="00BB5E7B" w:rsidRDefault="00187384" w:rsidP="00C64FF9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34DFF" w:rsidRPr="00BB5E7B" w:rsidRDefault="00E34DFF" w:rsidP="007C46CA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расходов бюджета МО </w:t>
            </w:r>
            <w:r w:rsidR="001C3BF7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1C3BF7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BB5E7B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составило </w:t>
            </w:r>
            <w:r w:rsidR="00BB5E7B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5E7B" w:rsidRPr="00BB5E7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B5E7B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275 766,17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976644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или </w:t>
            </w:r>
            <w:r w:rsidR="00BB5E7B"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Pr="00BB5E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уточненному плану.</w:t>
            </w:r>
          </w:p>
          <w:p w:rsidR="00130ED0" w:rsidRPr="00BB5E7B" w:rsidRDefault="00E34DFF" w:rsidP="00130ED0">
            <w:pPr>
              <w:shd w:val="clear" w:color="auto" w:fill="FFFFFF"/>
              <w:tabs>
                <w:tab w:val="left" w:pos="567"/>
                <w:tab w:val="left" w:pos="1134"/>
              </w:tabs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B5E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Исполнение расходов бюджета </w:t>
            </w:r>
            <w:r w:rsidR="001C3BF7" w:rsidRPr="00BB5E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BB5E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разрезе разделов классификации расходов бюджетов по сферам деятельности представлено следующими данными:</w:t>
            </w:r>
          </w:p>
          <w:p w:rsidR="00E34DFF" w:rsidRPr="00BB5E7B" w:rsidRDefault="00E34DFF" w:rsidP="00130ED0">
            <w:pPr>
              <w:shd w:val="clear" w:color="auto" w:fill="FFFFFF"/>
              <w:tabs>
                <w:tab w:val="left" w:pos="567"/>
                <w:tab w:val="left" w:pos="1134"/>
              </w:tabs>
              <w:spacing w:after="120" w:line="240" w:lineRule="auto"/>
              <w:ind w:firstLine="567"/>
              <w:jc w:val="righ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B5E7B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BB5E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(тыс.</w:t>
            </w:r>
            <w:r w:rsidR="00976644" w:rsidRPr="00BB5E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5E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руб.)</w:t>
            </w:r>
          </w:p>
          <w:tbl>
            <w:tblPr>
              <w:tblW w:w="9486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2"/>
              <w:gridCol w:w="1418"/>
              <w:gridCol w:w="1417"/>
              <w:gridCol w:w="1559"/>
            </w:tblGrid>
            <w:tr w:rsidR="00BB5E7B" w:rsidRPr="00BB5E7B" w:rsidTr="00345CE6">
              <w:trPr>
                <w:trHeight w:val="451"/>
                <w:tblHeader/>
              </w:trPr>
              <w:tc>
                <w:tcPr>
                  <w:tcW w:w="5092" w:type="dxa"/>
                  <w:shd w:val="clear" w:color="auto" w:fill="F2DBDB" w:themeFill="accent2" w:themeFillTint="33"/>
                  <w:vAlign w:val="center"/>
                  <w:hideMark/>
                </w:tcPr>
                <w:p w:rsidR="00E34DFF" w:rsidRPr="00C23456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8" w:type="dxa"/>
                  <w:shd w:val="clear" w:color="auto" w:fill="F2DBDB" w:themeFill="accent2" w:themeFillTint="33"/>
                  <w:vAlign w:val="center"/>
                  <w:hideMark/>
                </w:tcPr>
                <w:p w:rsidR="00E34DFF" w:rsidRPr="00C23456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  <w:vAlign w:val="center"/>
                  <w:hideMark/>
                </w:tcPr>
                <w:p w:rsidR="00E34DFF" w:rsidRPr="00C23456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  <w:vAlign w:val="center"/>
                  <w:hideMark/>
                </w:tcPr>
                <w:p w:rsidR="00E34DFF" w:rsidRPr="00C23456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% исполнения плана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Социально-культурная сфера</w:t>
                  </w:r>
                </w:p>
              </w:tc>
              <w:tc>
                <w:tcPr>
                  <w:tcW w:w="1418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1 366 546</w:t>
                  </w: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,21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1 365 297,12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99,9</w:t>
                  </w:r>
                  <w:r w:rsidR="00C952B0"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351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1 009 255,23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1 009 244,28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C952B0"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96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167 989,28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167 989,28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C952B0"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31 149,92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30 007,62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96,3</w:t>
                  </w:r>
                  <w:r w:rsidR="00C952B0"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151,78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158 055,94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  <w:r w:rsidR="00C952B0"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Производственная сфера</w:t>
                  </w:r>
                </w:p>
              </w:tc>
              <w:tc>
                <w:tcPr>
                  <w:tcW w:w="1418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869 018,26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687 733,84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79,1</w:t>
                  </w:r>
                  <w:r w:rsidR="00C952B0"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96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BB5A45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220 334,34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218 484,02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99,2</w:t>
                  </w:r>
                  <w:r w:rsidR="00C952B0"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96"/>
              </w:trPr>
              <w:tc>
                <w:tcPr>
                  <w:tcW w:w="5092" w:type="dxa"/>
                  <w:vAlign w:val="bottom"/>
                  <w:hideMark/>
                </w:tcPr>
                <w:p w:rsidR="00C952B0" w:rsidRPr="00BB5A45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683,92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249,82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72,3</w:t>
                  </w:r>
                  <w:r w:rsidR="00C952B0"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расходы</w:t>
                  </w:r>
                </w:p>
              </w:tc>
              <w:tc>
                <w:tcPr>
                  <w:tcW w:w="1418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229 347,57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  <w:vAlign w:val="bottom"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222 735,21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1C65F8" w:rsidRDefault="001C65F8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97,1</w:t>
                  </w:r>
                  <w:r w:rsidR="00C952B0" w:rsidRPr="001C65F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231"/>
              </w:trPr>
              <w:tc>
                <w:tcPr>
                  <w:tcW w:w="5092" w:type="dxa"/>
                  <w:vAlign w:val="center"/>
                  <w:hideMark/>
                </w:tcPr>
                <w:p w:rsidR="00C952B0" w:rsidRPr="00BB5A45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144 703,18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138 370,84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95,6</w:t>
                  </w:r>
                  <w:r w:rsidR="00C952B0"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461"/>
              </w:trPr>
              <w:tc>
                <w:tcPr>
                  <w:tcW w:w="5092" w:type="dxa"/>
                  <w:vAlign w:val="center"/>
                  <w:hideMark/>
                </w:tcPr>
                <w:p w:rsidR="00C952B0" w:rsidRPr="00BB5A45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1 683,98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1 403,96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BB5A45" w:rsidRDefault="00BB5A45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83,4</w:t>
                  </w:r>
                  <w:r w:rsidR="00C952B0" w:rsidRPr="00BB5A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rPr>
                <w:trHeight w:val="471"/>
              </w:trPr>
              <w:tc>
                <w:tcPr>
                  <w:tcW w:w="5092" w:type="dxa"/>
                  <w:vAlign w:val="center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26,69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26,69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BB5E7B" w:rsidRPr="00BB5E7B" w:rsidTr="00345CE6">
              <w:trPr>
                <w:trHeight w:val="786"/>
              </w:trPr>
              <w:tc>
                <w:tcPr>
                  <w:tcW w:w="5092" w:type="dxa"/>
                  <w:vAlign w:val="center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82 933,72</w:t>
                  </w:r>
                </w:p>
              </w:tc>
              <w:tc>
                <w:tcPr>
                  <w:tcW w:w="1417" w:type="dxa"/>
                  <w:vAlign w:val="bottom"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82 933,72</w:t>
                  </w:r>
                </w:p>
              </w:tc>
              <w:tc>
                <w:tcPr>
                  <w:tcW w:w="1559" w:type="dxa"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BB5E7B" w:rsidRPr="00BB5E7B" w:rsidTr="00345CE6">
              <w:trPr>
                <w:trHeight w:val="300"/>
              </w:trPr>
              <w:tc>
                <w:tcPr>
                  <w:tcW w:w="5092" w:type="dxa"/>
                  <w:shd w:val="clear" w:color="auto" w:fill="F2DBDB" w:themeFill="accent2" w:themeFillTint="33"/>
                  <w:noWrap/>
                  <w:vAlign w:val="bottom"/>
                  <w:hideMark/>
                </w:tcPr>
                <w:p w:rsidR="00C952B0" w:rsidRPr="00C23456" w:rsidRDefault="00C952B0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F2DBDB" w:themeFill="accent2" w:themeFillTint="33"/>
                  <w:noWrap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2 464 912,04</w:t>
                  </w:r>
                </w:p>
              </w:tc>
              <w:tc>
                <w:tcPr>
                  <w:tcW w:w="1417" w:type="dxa"/>
                  <w:shd w:val="clear" w:color="auto" w:fill="F2DBDB" w:themeFill="accent2" w:themeFillTint="33"/>
                  <w:noWrap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2 275 766,17</w:t>
                  </w:r>
                </w:p>
              </w:tc>
              <w:tc>
                <w:tcPr>
                  <w:tcW w:w="1559" w:type="dxa"/>
                  <w:shd w:val="clear" w:color="auto" w:fill="F2DBDB" w:themeFill="accent2" w:themeFillTint="33"/>
                  <w:vAlign w:val="bottom"/>
                  <w:hideMark/>
                </w:tcPr>
                <w:p w:rsidR="00C952B0" w:rsidRPr="00C23456" w:rsidRDefault="00C23456" w:rsidP="0090603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34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92,3</w:t>
                  </w:r>
                  <w:r w:rsidR="00C952B0" w:rsidRPr="00C234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E34DFF" w:rsidRPr="00BB5E7B" w:rsidRDefault="00E34DFF" w:rsidP="007C46CA">
            <w:pPr>
              <w:pStyle w:val="af0"/>
              <w:tabs>
                <w:tab w:val="left" w:pos="567"/>
              </w:tabs>
              <w:ind w:firstLine="567"/>
              <w:jc w:val="both"/>
              <w:rPr>
                <w:rFonts w:ascii="Times New Roman" w:hAnsi="Times New Roman"/>
                <w:b/>
                <w:color w:val="FF0000"/>
                <w:kern w:val="28"/>
                <w:sz w:val="24"/>
                <w:szCs w:val="24"/>
              </w:rPr>
            </w:pPr>
            <w:r w:rsidRPr="001C65F8">
              <w:rPr>
                <w:rFonts w:ascii="Times New Roman" w:hAnsi="Times New Roman"/>
                <w:sz w:val="24"/>
                <w:szCs w:val="24"/>
              </w:rPr>
              <w:t xml:space="preserve">В рамках мероприятий муниципальных программ, основной задачей реализации которых </w:t>
            </w:r>
            <w:r w:rsidR="00976644" w:rsidRPr="001C65F8">
              <w:rPr>
                <w:rFonts w:ascii="Times New Roman" w:hAnsi="Times New Roman"/>
                <w:sz w:val="24"/>
                <w:szCs w:val="24"/>
              </w:rPr>
              <w:t>является ориентация</w:t>
            </w:r>
            <w:r w:rsidRPr="001C65F8">
              <w:rPr>
                <w:rFonts w:ascii="Times New Roman" w:hAnsi="Times New Roman"/>
                <w:sz w:val="24"/>
                <w:szCs w:val="24"/>
              </w:rPr>
              <w:t xml:space="preserve"> деятельности на достижение конкретных результатов и повышение уровня прозрачности и доступности информации об использовании бюджетных средств, профинансировано</w:t>
            </w:r>
            <w:r w:rsidRPr="00BB5E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B6471" w:rsidRPr="00FB6471">
              <w:rPr>
                <w:rFonts w:ascii="Times New Roman" w:hAnsi="Times New Roman"/>
                <w:sz w:val="24"/>
                <w:szCs w:val="24"/>
              </w:rPr>
              <w:t>89,5</w:t>
            </w:r>
            <w:r w:rsidRPr="00FB647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76644" w:rsidRPr="00FB6471">
              <w:rPr>
                <w:rFonts w:ascii="Times New Roman" w:hAnsi="Times New Roman"/>
                <w:sz w:val="24"/>
                <w:szCs w:val="24"/>
              </w:rPr>
              <w:t>расходов бюджета</w:t>
            </w:r>
            <w:r w:rsidRPr="00FB6471">
              <w:rPr>
                <w:rFonts w:ascii="Times New Roman" w:hAnsi="Times New Roman"/>
                <w:sz w:val="24"/>
                <w:szCs w:val="24"/>
              </w:rPr>
              <w:t xml:space="preserve">, или </w:t>
            </w:r>
            <w:r w:rsidR="00FB6471" w:rsidRPr="00FB6471">
              <w:rPr>
                <w:rFonts w:ascii="Times New Roman" w:hAnsi="Times New Roman"/>
                <w:sz w:val="24"/>
                <w:szCs w:val="24"/>
              </w:rPr>
              <w:t>2 036 625,35</w:t>
            </w:r>
            <w:r w:rsidRPr="00FB647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976644" w:rsidRPr="00FB6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47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34DFF" w:rsidRPr="00FB6471" w:rsidRDefault="00E34DFF" w:rsidP="00E34DFF">
            <w:pPr>
              <w:pStyle w:val="af0"/>
              <w:tabs>
                <w:tab w:val="left" w:pos="567"/>
              </w:tabs>
              <w:spacing w:line="312" w:lineRule="auto"/>
              <w:ind w:firstLine="567"/>
              <w:jc w:val="right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B5E7B">
              <w:rPr>
                <w:rFonts w:ascii="Times New Roman" w:hAnsi="Times New Roman"/>
                <w:color w:val="FF0000"/>
                <w:kern w:val="28"/>
                <w:sz w:val="24"/>
                <w:szCs w:val="24"/>
              </w:rPr>
              <w:t xml:space="preserve"> </w:t>
            </w:r>
            <w:r w:rsidRPr="00FB6471">
              <w:rPr>
                <w:rFonts w:ascii="Times New Roman" w:hAnsi="Times New Roman"/>
                <w:kern w:val="28"/>
                <w:sz w:val="24"/>
                <w:szCs w:val="24"/>
              </w:rPr>
              <w:t>(</w:t>
            </w:r>
            <w:r w:rsidRPr="00FB6471">
              <w:rPr>
                <w:rFonts w:ascii="Times New Roman" w:hAnsi="Times New Roman"/>
                <w:kern w:val="28"/>
                <w:sz w:val="22"/>
                <w:szCs w:val="22"/>
              </w:rPr>
              <w:t>тыс.</w:t>
            </w:r>
            <w:r w:rsidR="00976644" w:rsidRPr="00FB6471">
              <w:rPr>
                <w:rFonts w:ascii="Times New Roman" w:hAnsi="Times New Roman"/>
                <w:kern w:val="28"/>
                <w:sz w:val="22"/>
                <w:szCs w:val="22"/>
              </w:rPr>
              <w:t xml:space="preserve"> </w:t>
            </w:r>
            <w:r w:rsidRPr="00FB6471">
              <w:rPr>
                <w:rFonts w:ascii="Times New Roman" w:hAnsi="Times New Roman"/>
                <w:kern w:val="28"/>
                <w:sz w:val="22"/>
                <w:szCs w:val="22"/>
              </w:rPr>
              <w:t>руб.)</w:t>
            </w:r>
          </w:p>
          <w:tbl>
            <w:tblPr>
              <w:tblW w:w="9356" w:type="dxa"/>
              <w:tblInd w:w="92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843"/>
              <w:gridCol w:w="1701"/>
            </w:tblGrid>
            <w:tr w:rsidR="00FB6471" w:rsidRPr="00FB6471" w:rsidTr="001442D2">
              <w:trPr>
                <w:trHeight w:val="303"/>
              </w:trPr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Доля</w:t>
                  </w:r>
                </w:p>
              </w:tc>
            </w:tr>
            <w:tr w:rsidR="00FB6471" w:rsidRPr="00FB6471" w:rsidTr="00345CE6">
              <w:trPr>
                <w:trHeight w:val="315"/>
              </w:trPr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Расходы всего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FB6471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2 275 766,17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100,0%</w:t>
                  </w:r>
                </w:p>
              </w:tc>
            </w:tr>
            <w:tr w:rsidR="00FB6471" w:rsidRPr="00FB6471" w:rsidTr="00345CE6">
              <w:trPr>
                <w:trHeight w:val="96"/>
              </w:trPr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FB6471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2 036 625,35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FB6471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89,5</w:t>
                  </w:r>
                  <w:r w:rsidR="00E34DFF"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FB6471" w:rsidRPr="00FB6471" w:rsidTr="00345CE6">
              <w:trPr>
                <w:trHeight w:val="96"/>
              </w:trPr>
              <w:tc>
                <w:tcPr>
                  <w:tcW w:w="31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E34DFF" w:rsidP="009060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FB6471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239 140,82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FF" w:rsidRPr="00FB6471" w:rsidRDefault="00FB6471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10,5</w:t>
                  </w:r>
                  <w:r w:rsidR="00E34DFF" w:rsidRPr="00FB6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7C46CA" w:rsidRPr="00BB5E7B" w:rsidRDefault="007C46CA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МО </w:t>
            </w:r>
            <w:r w:rsidR="001C3BF7" w:rsidRPr="00C6076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"</w:t>
            </w:r>
            <w:r w:rsidR="001C3BF7" w:rsidRPr="00C60762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"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рамках </w:t>
            </w:r>
            <w:r w:rsidR="001C3BF7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девяти 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программ: 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2B0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населения</w:t>
            </w:r>
            <w:r w:rsidR="00C952B0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2B0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Развитие экономики»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2B0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муниципального района «Корткеросский»</w:t>
            </w:r>
            <w:r w:rsidR="00C952B0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DFF" w:rsidRPr="00C60762" w:rsidRDefault="00C952B0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proofErr w:type="gramEnd"/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муниципального района «Корткеросский»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="00E34DFF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DFF" w:rsidRPr="00C60762" w:rsidRDefault="00E34DFF" w:rsidP="007C46CA">
            <w:pPr>
              <w:pStyle w:val="af0"/>
              <w:tabs>
                <w:tab w:val="left" w:pos="567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017D6" w:rsidRPr="00C60762">
              <w:rPr>
                <w:rFonts w:ascii="Times New Roman" w:hAnsi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Корткеросском районе</w:t>
            </w:r>
            <w:r w:rsidR="004017D6" w:rsidRPr="00C60762">
              <w:rPr>
                <w:rFonts w:ascii="Times New Roman" w:hAnsi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муниципального управления</w:t>
            </w:r>
            <w:r w:rsidR="004017D6" w:rsidRPr="00C6076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DFF" w:rsidRPr="00C60762" w:rsidRDefault="00E34DFF" w:rsidP="007C46CA">
            <w:p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17D6" w:rsidRPr="00C60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обеспечение общественной безопасности на территории муниципального района </w:t>
            </w:r>
            <w:r w:rsidR="004017D6" w:rsidRPr="00C60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="004017D6" w:rsidRPr="00C60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4017D6" w:rsidRPr="00C60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2B0" w:rsidRPr="00C60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6CA" w:rsidRPr="00C60762" w:rsidRDefault="004017D6" w:rsidP="007C46CA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C74A2E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</w:t>
            </w:r>
            <w:r w:rsidR="00C74A2E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</w:t>
            </w:r>
            <w:r w:rsidR="003E12AB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B5E7B" w:rsidRPr="00C6076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E12AB"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>представлено в таблице:</w:t>
            </w:r>
          </w:p>
          <w:p w:rsidR="00130ED0" w:rsidRPr="00D4404D" w:rsidRDefault="005B4281" w:rsidP="007C46CA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0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924D08" w:rsidRPr="00D440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404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1A06F7" w:rsidRPr="00D4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D08" w:rsidRPr="00D4404D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  <w:tbl>
            <w:tblPr>
              <w:tblW w:w="9589" w:type="dxa"/>
              <w:tblLayout w:type="fixed"/>
              <w:tblLook w:val="04A0" w:firstRow="1" w:lastRow="0" w:firstColumn="1" w:lastColumn="0" w:noHBand="0" w:noVBand="1"/>
            </w:tblPr>
            <w:tblGrid>
              <w:gridCol w:w="5479"/>
              <w:gridCol w:w="1559"/>
              <w:gridCol w:w="1417"/>
              <w:gridCol w:w="1134"/>
            </w:tblGrid>
            <w:tr w:rsidR="00BB5E7B" w:rsidRPr="00D4404D" w:rsidTr="001442D2">
              <w:trPr>
                <w:trHeight w:val="373"/>
                <w:tblHeader/>
              </w:trPr>
              <w:tc>
                <w:tcPr>
                  <w:tcW w:w="5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3E12AB" w:rsidRPr="00D4404D" w:rsidRDefault="003E12AB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МП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3E12AB" w:rsidRPr="00D4404D" w:rsidRDefault="003E12AB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3E12AB" w:rsidRPr="00D4404D" w:rsidRDefault="003E12AB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3E12AB" w:rsidRPr="00D4404D" w:rsidRDefault="003E12AB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% исполнения плана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547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C60762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МО МР "Корткеросский" "Безопасность жизнедеятельности населения"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C60762" w:rsidRDefault="00C60762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705,98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C60762" w:rsidRDefault="00C60762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557,93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C60762" w:rsidRDefault="00C60762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 w:rsidR="009B629F" w:rsidRPr="00C607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52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C60762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Муниципальная программа МО МР "Корткеросский" "Развитие экономики"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C60762" w:rsidRDefault="00C60762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881,42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C60762" w:rsidRDefault="00C60762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6076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881,42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C60762" w:rsidRDefault="009B629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07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00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972217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"Развитие транспортной системы"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201 345</w:t>
                  </w: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199 511,71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99,1</w:t>
                  </w:r>
                  <w:r w:rsidR="009B629F"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7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972217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"Развитие жилищно-коммунального хозяйства муниципального района "Корткеросский""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651 102,71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471 649,34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72,4</w:t>
                  </w:r>
                  <w:r w:rsidR="009B629F"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47"/>
              </w:trPr>
              <w:tc>
                <w:tcPr>
                  <w:tcW w:w="547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972217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"Развитие образования"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985 057,03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984 298,12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99,9</w:t>
                  </w:r>
                  <w:r w:rsidR="009B629F"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17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972217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"Развитие культуры Корткеросского района"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186 366,72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186 343,44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972217" w:rsidRDefault="009B629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95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972217" w:rsidRDefault="009B629F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"Развитие физической культуры и спорта на территории МО МР "Корткеросский""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177 558,55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177 441,26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629F" w:rsidRPr="00972217" w:rsidRDefault="009B629F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  <w:r w:rsidR="00972217"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,9</w:t>
                  </w: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972217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95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217" w:rsidRPr="00972217" w:rsidRDefault="00972217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</w:t>
                  </w:r>
                  <w:r>
                    <w:t xml:space="preserve"> </w:t>
                  </w:r>
                  <w:r w:rsidRPr="009722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"Развитие системы муниципального управления"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217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10 100,79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2217" w:rsidRPr="00972217" w:rsidRDefault="00972217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10 096,09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72217" w:rsidRPr="00972217" w:rsidRDefault="00D4404D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BB5E7B" w:rsidRPr="00BB5E7B" w:rsidTr="00345C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44"/>
              </w:trPr>
              <w:tc>
                <w:tcPr>
                  <w:tcW w:w="547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629F" w:rsidRPr="00D4404D" w:rsidRDefault="003E12AB" w:rsidP="00906034">
                  <w:pPr>
                    <w:tabs>
                      <w:tab w:val="left" w:pos="76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МО МР "Корткеросский" "Профилактика правонарушений и обеспечение общественной безопасности на территории муниципального района "Корткеросский" Республики Коми"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D4404D" w:rsidRDefault="00D4404D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1 137,30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629F" w:rsidRPr="00D4404D" w:rsidRDefault="00D4404D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846,03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629F" w:rsidRPr="00D4404D" w:rsidRDefault="00D4404D" w:rsidP="009060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74,4</w:t>
                  </w:r>
                  <w:r w:rsidR="009B629F" w:rsidRPr="00D440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E72CB8" w:rsidRPr="00FC0EFA" w:rsidRDefault="00E72CB8" w:rsidP="00C64FF9">
            <w:pPr>
              <w:tabs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0B47" w:rsidRPr="00FC0EFA" w:rsidRDefault="002F2321" w:rsidP="00C64FF9">
            <w:pPr>
              <w:tabs>
                <w:tab w:val="left" w:pos="7620"/>
              </w:tabs>
              <w:spacing w:after="0" w:line="240" w:lineRule="auto"/>
              <w:ind w:firstLine="6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юджет муниципального 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«Корткеросский» исполнен с 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фицитом 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195 441,9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C74A2E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дефиците 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C74A2E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388B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FC0EFA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C0EFA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1A388B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составе источников финансирования </w:t>
            </w:r>
            <w:r w:rsidR="00B91E5D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дефицита погашение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кредитов от других бюджетов РФ в сумме 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16 491,0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рублей, изменение остатков </w:t>
            </w:r>
            <w:r w:rsidR="001A06F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A837E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211 932,9</w:t>
            </w:r>
            <w:r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520B47" w:rsidRPr="00FC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3A1C7D" w:rsidRPr="00FC0EFA" w:rsidRDefault="003A1C7D" w:rsidP="00C64FF9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309F" w:rsidRPr="00FC0EFA" w:rsidRDefault="00F0309F" w:rsidP="00C64FF9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E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муниципальном долге</w:t>
            </w:r>
          </w:p>
          <w:p w:rsidR="00F0309F" w:rsidRPr="00FC0EFA" w:rsidRDefault="00F0309F" w:rsidP="00C64FF9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A69" w:rsidRPr="00FC0EFA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FA">
              <w:rPr>
                <w:rFonts w:ascii="Times New Roman" w:hAnsi="Times New Roman" w:cs="Times New Roman"/>
                <w:sz w:val="24"/>
                <w:szCs w:val="24"/>
              </w:rPr>
              <w:t>В долговой книге муниципального образования муниципального района «Корткеросский» по состоянию на 01.01.</w:t>
            </w:r>
            <w:r w:rsidR="00BB5E7B" w:rsidRPr="00FC0E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C0EFA">
              <w:rPr>
                <w:rFonts w:ascii="Times New Roman" w:hAnsi="Times New Roman" w:cs="Times New Roman"/>
                <w:sz w:val="24"/>
                <w:szCs w:val="24"/>
              </w:rPr>
              <w:t xml:space="preserve"> г. числится остаток непогашенного долга по бюджетному кредиту на частичное покрытие дефицита бюджета, привлеченному в местный бюджет за счет республиканского бюджета РК в сумме </w:t>
            </w:r>
            <w:r w:rsidR="00FC0EFA" w:rsidRPr="00FC0EFA">
              <w:rPr>
                <w:rFonts w:ascii="Times New Roman" w:hAnsi="Times New Roman" w:cs="Times New Roman"/>
                <w:sz w:val="24"/>
                <w:szCs w:val="24"/>
              </w:rPr>
              <w:t>19 164,0</w:t>
            </w:r>
            <w:r w:rsidR="002F2321" w:rsidRPr="00FC0EF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FC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E5D" w:rsidRPr="00FC0EF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F2321" w:rsidRPr="00FC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E5D" w:rsidRPr="00FC0E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CB7855" w:rsidRPr="00FC0EFA">
              <w:rPr>
                <w:rFonts w:ascii="Times New Roman" w:hAnsi="Times New Roman" w:cs="Times New Roman"/>
                <w:sz w:val="24"/>
                <w:szCs w:val="24"/>
              </w:rPr>
              <w:t xml:space="preserve"> сроком погашения до 7 лет.</w:t>
            </w:r>
          </w:p>
          <w:p w:rsidR="001A06F7" w:rsidRPr="00C44361" w:rsidRDefault="001A06F7" w:rsidP="005B66E5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ind w:firstLine="5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5B66E5" w:rsidRPr="00BB5E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C4436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tbl>
            <w:tblPr>
              <w:tblW w:w="9589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4111"/>
              <w:gridCol w:w="1275"/>
              <w:gridCol w:w="1180"/>
              <w:gridCol w:w="1276"/>
              <w:gridCol w:w="1275"/>
            </w:tblGrid>
            <w:tr w:rsidR="00C44361" w:rsidRPr="00C44361" w:rsidTr="0000234E">
              <w:trPr>
                <w:trHeight w:val="765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и дата соглашения (договора, гарантии и т.п.), наименование кредитора (принципала, бенефициара)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 погашения обязательств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Задолженность на 01.01.2023 г.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  <w:hideMark/>
                </w:tcPr>
                <w:p w:rsidR="00FC0EFA" w:rsidRPr="00C44361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43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Задолженность на 01.01.2024 г. </w:t>
                  </w:r>
                </w:p>
              </w:tc>
            </w:tr>
            <w:tr w:rsidR="00FC0EFA" w:rsidRPr="00BB5E7B" w:rsidTr="0000234E">
              <w:trPr>
                <w:trHeight w:val="102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кредиты, привлеченные в бюджет МО МР "Корткеросский"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35 655,0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16 491,0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19 164,0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Соглашение № 4 от 29.04.2015 г. с Министерством финансов Республики Коми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25.12.2023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2 260,0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Соглашение № 10 от 13.07.2015 г. с Министерством финансов Республики Коми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25.12.2023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3 045,0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3 045,0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Соглашение № 3 от 19.04.2016 г. с Министерством финансов Республики Коми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25.12.2025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5 250,0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9 000,0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Соглашение № 3 от 20.07.2017 г. с Министерством финансов Республики Коми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25.12.2025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5 936,0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10 164,0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Кредиты, полученные МО МР "Корткеросский" от кредитных организаций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Муниципальные гарантии МО МР "Корткеросский"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C0EFA" w:rsidRPr="00BB5E7B" w:rsidTr="0000234E">
              <w:trPr>
                <w:trHeight w:val="51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Муниципальные ценные бумаги МО МР "Корткеросский"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C0EFA" w:rsidRPr="00BB5E7B" w:rsidTr="0000234E">
              <w:trPr>
                <w:trHeight w:val="48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ДОЛГ ВСЕГО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35 655,0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16 491,0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19 164,0</w:t>
                  </w:r>
                </w:p>
              </w:tc>
            </w:tr>
            <w:tr w:rsidR="00FC0EFA" w:rsidRPr="00BB5E7B" w:rsidTr="0000234E">
              <w:trPr>
                <w:trHeight w:val="480"/>
              </w:trPr>
              <w:tc>
                <w:tcPr>
                  <w:tcW w:w="5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обслуживание муниципального долга МО МР "Корткеросский"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E30B26" w:rsidP="00E30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0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26,69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0EFA" w:rsidRPr="00FC0EFA" w:rsidRDefault="00FC0EFA" w:rsidP="00FC0E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0ED0" w:rsidRPr="00E30B26" w:rsidRDefault="00130ED0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9F" w:rsidRPr="00E30B26" w:rsidRDefault="00CB7855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B5E7B" w:rsidRPr="00E30B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E5D" w:rsidRPr="00E30B26">
              <w:rPr>
                <w:rFonts w:ascii="Times New Roman" w:hAnsi="Times New Roman" w:cs="Times New Roman"/>
                <w:sz w:val="24"/>
                <w:szCs w:val="24"/>
              </w:rPr>
              <w:t>году на</w:t>
            </w:r>
            <w:r w:rsidR="00F0309F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погашение основного долга по бюджетному кредиту направлено</w:t>
            </w:r>
            <w:r w:rsidR="001A388B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1E5D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A388B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16 491,0</w:t>
            </w:r>
            <w:r w:rsidR="00E67309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0309F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F0309F" w:rsidRPr="00E30B26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обслуживание муниципального долга за </w:t>
            </w:r>
            <w:r w:rsidR="00BB5E7B" w:rsidRPr="00E30B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составили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0B26">
              <w:rPr>
                <w:rFonts w:ascii="Times New Roman" w:hAnsi="Times New Roman" w:cs="Times New Roman"/>
                <w:sz w:val="24"/>
                <w:szCs w:val="24"/>
              </w:rPr>
              <w:t> 686,81</w:t>
            </w:r>
            <w:r w:rsidR="003D694E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F0309F" w:rsidRPr="00E30B26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№ 4 от 29.04.2015 г. в размере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1 023,59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0309F" w:rsidRPr="00E30B26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№ 10 от 13.07.2015 г. в размере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1 383,83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0309F" w:rsidRPr="00E30B26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№ 3 от 19.04.2016 г. в размере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11 407,83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0309F" w:rsidRPr="00E30B26" w:rsidRDefault="0033353E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>по Соглашению №3 от 20.07.2017 г. в размере</w:t>
            </w:r>
            <w:r w:rsidR="002A7059"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B26" w:rsidRPr="00E30B26">
              <w:rPr>
                <w:rFonts w:ascii="Times New Roman" w:hAnsi="Times New Roman" w:cs="Times New Roman"/>
                <w:sz w:val="24"/>
                <w:szCs w:val="24"/>
              </w:rPr>
              <w:t>12 871,56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F0309F" w:rsidRPr="00E30B26" w:rsidRDefault="00F0309F" w:rsidP="00C64FF9">
            <w:pPr>
              <w:tabs>
                <w:tab w:val="left" w:pos="7620"/>
              </w:tabs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В анализируемый период погашение обязательств по заемным </w:t>
            </w:r>
            <w:bookmarkStart w:id="0" w:name="_GoBack"/>
            <w:bookmarkEnd w:id="0"/>
            <w:r w:rsidR="00C44361" w:rsidRPr="00E30B26">
              <w:rPr>
                <w:rFonts w:ascii="Times New Roman" w:hAnsi="Times New Roman" w:cs="Times New Roman"/>
                <w:sz w:val="24"/>
                <w:szCs w:val="24"/>
              </w:rPr>
              <w:t>средствам осуществлялось</w:t>
            </w:r>
            <w:r w:rsidRPr="00E30B26">
              <w:rPr>
                <w:rFonts w:ascii="Times New Roman" w:hAnsi="Times New Roman" w:cs="Times New Roman"/>
                <w:sz w:val="24"/>
                <w:szCs w:val="24"/>
              </w:rPr>
              <w:t xml:space="preserve"> в срок. В структуре муниципального долга просроченные долговые обязательства отсутствовали.</w:t>
            </w:r>
          </w:p>
          <w:p w:rsidR="00B11473" w:rsidRPr="00BB5E7B" w:rsidRDefault="00B11473" w:rsidP="00C64FF9">
            <w:pPr>
              <w:tabs>
                <w:tab w:val="left" w:pos="7620"/>
              </w:tabs>
              <w:spacing w:after="0" w:line="240" w:lineRule="auto"/>
              <w:ind w:firstLine="477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638A4" w:rsidRPr="00BB5E7B" w:rsidRDefault="00D638A4" w:rsidP="00C64FF9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5F4B0B" w:rsidRPr="001442D2" w:rsidRDefault="005F4B0B" w:rsidP="005F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 к бухгалтерской отчетности МО МР</w:t>
            </w:r>
          </w:p>
          <w:p w:rsidR="005F4B0B" w:rsidRPr="001442D2" w:rsidRDefault="005F4B0B" w:rsidP="005F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«Корткеросский»</w:t>
            </w:r>
          </w:p>
          <w:p w:rsidR="005F4B0B" w:rsidRPr="001442D2" w:rsidRDefault="005F4B0B" w:rsidP="005F4B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бюджетной отчетности за 2023 год сформированы с учетом особенностей, изложенных в совместном письме Минфина России и Федерального казначейства от 11.01.2024 года № 02-06-06/950 и №07-04-05/02-253 соответственно.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Баланс главного распорядителя, распорядителя, получателя бюджетных средств, главного администратора, администратора источников финансирования дефицита бюджета, главного администратора, администратора доходов бюджета </w:t>
            </w:r>
            <w:proofErr w:type="gramStart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(</w:t>
            </w:r>
            <w:proofErr w:type="gramEnd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0503320)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 стр.160 в сумме 7971016,00 руб. объясняется показателями по коду счетам 1 401 50 225 "Расходы будущих периодов на содержание имущества" (взносы на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капремонт), 1 401 50 227 «Расходы будущих периодов на страхование» (ОСАГО).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      </w:r>
            <w:proofErr w:type="gramStart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ф.</w:t>
            </w:r>
            <w:proofErr w:type="gramEnd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0503317)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 дохода 21805010050000150 отражена сумма 7448,38 рублей, что соответствует показателю по стр.592 ф.0503737 по виду финансового обеспечения «Субсидия на иные цели».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Консолидированный отчет о движении денежных средств (ф.0503323)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0409 отражены: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КОГСУ 129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1 599 596,60 руб.: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сумма 75 198,65 руб. поступления от использования имущества находящегося в собственности поселения,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реш.суда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наним.помещений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сумма 1 524 397,95 руб. ОА "Коми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использование имущества находящегося в собственности Администрации МО МР "Корткеросский".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0505 отражена: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КОСГУ 134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716 851,28 руб. возврат средств по акту проверки и возмещение материального ущерба по решению суда.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0506: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КОСГУ 135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963 387,39 руб. компенсация стоимости коммунальных расходов.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0601: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КОСГУ 141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сумма: -502 444,70 руб. Отказ от претензионного письма ООО "СМК-11"; сумма 7 873,49 руб. по претензионному письму штраф, неустойка.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"Отчете об исполнении консолидированного бюджета субъекта Российской Федерации и бюджета территориального государственного внебюджетного фонда " </w:t>
            </w:r>
            <w:proofErr w:type="gram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ф.</w:t>
            </w:r>
            <w:proofErr w:type="gram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0503317) по коду дохода 1160709050000140 отражена сумма ( - 455 546,44 руб.) -это сумма уменьшения штрафов и неустоек по КОСГУ 141 - 494 571,21 руб. со знаком "минус" и поступлением штрафов и неустоек по КОСГУ 145 в сумме 39 024,77руб.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0605: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КОСГУ 145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1 720 249.07 руб. штрафы, неустойки.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0705: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КОСГУ 155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сумма: 7 060 000,00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руб.Поступление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по безвозмездным поступлениям текущего характера от иных резидентов (ОАО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Монди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Сыктывкарский ЛПК);сумма 15 000,00 руб. доходы по безвозмездным поступлениям текущего характера от ИП в рамках программы "Народный бюджет"; сумма 20 400,00 руб. доходы по безвозмездным поступлениям текущего характера от населения в рамках программы "Народный бюджет"; сумма 179 100,00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руб.доходы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безвозмездным поступлениям текущего характера от населения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денеж.пожертвований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сумма 10 000,00 руб. доходы по безвозмездным поступлениям текущего характера от ИП,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денеж.пожертвований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4210: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отражена сумма 38 712,40 руб.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возвраты прошлых лет,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поступившие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11302995050000130 (134) и 11302995100000130 (134).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строке 4220: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отражена сумма 96 530,03руб. возврат остатков трансфертов прошлых лет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21805010050000150 и 21960010050000150.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о финансовых результатах </w:t>
            </w:r>
            <w:r w:rsidR="001442D2"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(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0503321)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 051 КОСГУ 141 в сумме (- 494 571,21) руб., объясняется начислением штрафных санкций по неисполнению муниципальных контрактов. Отражается со знаком "-" в связи с уменьшением суммы задолженности.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061 КОСГУ 151 соответствует ф.425 по счету 1 401 10 151.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Строка 065 КОСГУ 155 в сумме 7 569 274,00 руб. соответствует строке 0705 КОСГУ 155 ф.0503323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071 КОСГУ 161 соответствует ф.425 по счету 1 401 10 161.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 092 КОСГУ 172 фактические доходы составили -84 864 098,50 руб. объясняются уменьшением показателя по счету 1 204 33 000 в течение года, списание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обектов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недвижимого 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движемого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казны, расшифровка приведена в таблице к пояснениям к Справке по заключению счетов бюджетного учета отчетного финансового года (ф.410).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 093 КОСГУ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расшифровка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приведена в таблице к пояснениям к Справке по заключению счетов бюджетного учета отчетного финансового года (ф.410).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 096 КОСГУ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расшифровка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приведена в таблице к пояснениям к Справке по заключению счетов бюджетного учета отчетного финансового года (ф.410).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211 КОСГУ 241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составили 1 254 045 899,97 руб.: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субсидиям на иные цели составляют – 401 186 131,68 руб.;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субсидиям на выполнение государственного задания составляют – 848 648 903,54 руб.;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безвозмездная передача материальных запасов в сумме 4 210 864,75 руб., в том числе межведомственная передача (ГРБС (ВР 804)) - 2 065 622,64 руб., подведомственным бюджетному учреждению (ВР 803) - 2 120 986,93 руб.,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межведомсвенная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бюджетным учреждениям (ВР 805) - 24 255,18 руб.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231 КОСГУ 251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сумме консолидации 86 439 045,14руб.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261 КОСГУ 281 Фактические расходы составили 27 672 443,71 руб.: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субсидиям на иные цели составляют – 203 035,82 руб.;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безвозмездной передачей основных средств (ВР 804) - 137 857,35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безвозмездной передачей основных средств (ВР 805) - 27 331 550,54 руб.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      Расхождения показателей стр.252 и стр.362 в сумме 4 558 869,75 руб. объясняются безвозмездной передачей МЗ на сумму 4 210 864,75 руб., произведено списание материальных запасов КОСГУ 446 в сумме 348 005,00руб. на формирование первоначальной стоимости ОС (иного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Справка по заключению счетов бюджетного учета отчетного финансового года (ф.410)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приведена в таблице (файл приложен к Пояснительной записке).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МДКС были выявлены 3 предупреждения "</w:t>
            </w:r>
            <w:bookmarkStart w:id="1" w:name="_dx_frag_StartFragment"/>
            <w:bookmarkEnd w:id="1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отклонения по передачам НФА, ФА, ФО, требующие пояснений</w:t>
            </w:r>
            <w:bookmarkStart w:id="2" w:name="_dx_frag_EndFragment"/>
            <w:bookmarkEnd w:id="2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при контроле с ф.410: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ф.410 отражается сумма 2 065 622,64 руб. по КБК </w:t>
            </w:r>
            <w:hyperlink r:id="rId6">
              <w:r w:rsidRPr="001442D2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00020710050050000194140110191</w:t>
              </w:r>
            </w:hyperlink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поясняется безвозмездным поступлением материальных запасов   от администрации МО МР "Корткеросский";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ф.410 отражается сумма 137 857, 35 руб. по КБК 00020710050050000194140110195 - поясняется безвозмездным поступлением недвижимого имущества от администрации МО МР «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Корткеросский» (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- 973367,64 руб., амортизация - 835510,29 руб.)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ф.410 отражена сумма 6 500,00 руб. по КБК 00021805010050000150140110153 - поясняется начислением доходов от возврата дебиторской задолженности по субсидиям на иные цели, сумма будет возвращена в 2024г.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движении нефинансовых активов (ф. 0503368)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показателей по строке 560 «Вложения в объекты государственной (муниципальной) казны» обусловлено строительством новых объектов по реализации адресных программ по переселению граждан из аварийного жилищного фонда.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МДКС выявлены предупреждения "Показатели ф.0503368 на начало года не соответствуют идентичным показателям прошлого года", изменения показателей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объясняется следующим: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стр.190 отклонение 0,06 руб. отражено исправление данных бухгалтерского учета по учету МЗ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по стр.070, 073 отклонение 675 400,00 руб. отражены исправления учетных данных прошлых лет. В 2021 г. были произведены работы по обустройству футбольного поля. Работы были приняты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1 302 26 000 (прочие услуги). В 2023 г. были внесены исправления ошибок прошлых лет и данные работы были отражены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1 106 31 000 (вложения в основные средства – иное движимое имущество).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14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по дебиторской и кредиторской задолженности (ф. 0503369)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Дебиторская задолженность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межрасчетный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внесены изменения в части изменением кодов бюджетной классификации.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 счету 1 205 53 000 соответствует показателю остатка субсидии на иные цели на лицевых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счетамх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учреждений, в отношении которых ГРБС выполняет функции и полномочия учредителя (ф.0503779 по виду финансового обеспечения "Субсидия на иные цели").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 коду счета 1 209 34 000 объясняется наличием задолженности физических лиц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повозмещению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ущерба, причиненного преступлением.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 коду счета 1 209 45 000 соответствует остатку задолженности по доходам от штрафов, пеней, возмещение ущерба.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внутридокументного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выявлены предупреждения: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bookmarkStart w:id="3" w:name="1RU1530792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Дебетовый остаток по счетам 303хх, кроме 30314, 30305 требует</w:t>
            </w:r>
            <w:bookmarkEnd w:id="3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пояснения"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Отражена дебиторская задолженность по счетам: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00000000000000000130301001</w:t>
            </w:r>
            <w:r w:rsidRPr="0014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103 181,03 руб. дебиторская задолженность по уплате НДФЛ, в 2023году допускается уплата НДФЛ без ведения ЕНП,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00000000000000000130306001 - 30 760,38 руб. - дебиторская задолженность по страховым взносам на обязательное социальное страхование от несчастных случаев на производстве и профессиональных заболеваний отражена на счете 30306000, будет учтена при оплате взносов в следующем периоде.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00000000000000000120511000 -  2 007 596,49 руб. дебиторская задолженность отражена  в соответствии с отчетностью УФНС РК, с 01.01.2023г. отражение в бюджетном учете  показателей по администрируемым доходам осуществляется на основании реестров, которые предоставляются в соответствующие финансовые отделы (отделы обеспечения) МИУДОЛ, формируемых в порядке установленном приказами ФНС России от 09.02.2016 № ММВ-7-1/65@ «Об организации работы по ведению Реестров начисленных и поступивших доходов бюджетов, администрируемых ФНС России» в ред. от 17.02.2023г. № ЕД-7-8/118@.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        При проведении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междокументальных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соотношений выявлены 2 предупреждения- требует пояснения: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изменение показателей на начало года отражено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0503373 и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объясняется следующим: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сумма дебиторской задолженности по доходам изменилась на общую сумму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392 450,03 руб., в том числе просроченная задолженность 392 449,89 руб., расхождение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 исправлением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(пересчетом показателей) в бюджетном учете УФНС РК (изменился остаток по сч.1 205 11 000)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        - сумма дебиторской задолженности по доходам изменилась на общую сумму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255 502 166,40 руб., расхождение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 исправлением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прошлых лет в бюджетном учете Министерства природных ресурсов и охраны окружающей среды РК (изменился остаток по сч.1 205 45 000).      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1442D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Кредиторская задолженность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внутридокументного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выявлено 1 предупреждение: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"Кредитовый остаток по счетам 303хх, кроме 30314, 30305 требует пояснения"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кредиторская задолженность по счетам: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00000000000000000130301001</w:t>
            </w:r>
            <w:r w:rsidRPr="0014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150 256,97 руб. кредиторская задолженность по уплате НДФЛ, в 2023году допускается уплата НДФЛ без ведения ЕНП.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проведении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междокументальных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соотношений выявлены 3 предупреждения: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изменение показателей на начало года отражено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0503373 и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объясняется следующим: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сумма кредиторской задолженности по доходам изменилась на общую сумму 15500,00 руб., расхождение объясняется исправлением ошибок (пересчетом показателей) в бюджетном учете УФНС РК (изменился остаток по сч.1 205 11 000).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сумма кредиторской задолженности по доходам будущих периодов изменилась на общую сумму 0,14 руб., расхождение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 исправлением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(пересчету показателей) в бюджетном учете УФНС РК (изменился остаток по сч.1 401 40 111). 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сумма кредиторской задолженности по расчетам с подотчетными лицами изменилась на сумму 0,06 руб., расхождение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объясняется исправлением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прошлых лет в бюджетном учете.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финансовых вложениях (ф.0503371)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по счету 1 204 33 000 соответствует показателю по </w:t>
            </w:r>
            <w:hyperlink r:id="rId7">
              <w:r w:rsidRPr="001442D2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счету 210 06</w:t>
              </w:r>
            </w:hyperlink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"Расчеты с учредителем" в Балансе государственного муниципального учреждения (ф.0503730) - 1 459 011 094,62 руб.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государственном (муниципальном) долге, предоставленных бюджетных кредитах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консолидированного бюджета (ф.0503372)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задолженности по кредиту по состоянию на 01.01.2024г. соответствует остатку по счету 1 301 11 000 "Расчеты с кредиторами по долговым обязательствам" в Баланс главного распорядителя, распорядителя, получателя бюджетных средств, главного 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администратора, администратора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финансирования дефицита бюджета, главного администратора, администратора доходов бюджета (ф.0503320) - 19 164 000,00 руб.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об изменении валюты </w:t>
            </w:r>
            <w:r w:rsidR="001442D2"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баланса (</w:t>
            </w: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ф.0503373)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Остатки валюты баланса увеличились на сумму 255 785 116,31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руб.в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активу баланса произошли следующие изменения: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 причины 03 "Исправление ошибок прошлых лет, выявленных в отчетном периоде, по корреспонденциям со счетами, предназначенными для отражения ошибок прошлых лет":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уменьшилась сумма остаточной стоимости материальных запасов, счет 110536000 (стр.080) на сумму 0,06 руб. Код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причны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03.3. Отражено исправление данных бухгалтерского учета по учету МЗ и расчетов с подотчётными лицами (0,06 руб.) (исправление ошибок годовой отчетности за 2022 г.);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увеличилась сумма вложений в нефинансовые активы, счет 110631000 (стр.120) на сумму 675 400,00 руб. - код причины 03.3. В 2021 г. были произведены работы по обустройству футбольного поля. Работы были приняты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302.26 (прочие услуги). В 2023 г. были внесены исправления ошибок прошлых лет и данные работы были отражены по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106.31 (вложения в основные средства – иное движимое имущество).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увеличилась дебиторская задолженность по доходам, счет 120545000 (стр.250) на сумму 255 502 166,40 руб. по КБК 11610123010051140 по данным Министерство природных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и охраны окружающей среды РК, исправления ошибок прошлых лет;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коду причины 06 "Иные причины, предусмотренные законодательством РФ":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уменьшилась дебиторская задолженность по доходам, счет 120511000 (стр.250) на сумму 392 450,03 руб., в том числе просроченная задолженность 392 449,89 руб., отражает показатели по исправлению ошибок (пересчету показателей) в бюджетном учете УФНС по РК, выявленных за 2023 год.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пассиву баланса произошли следующие изменения: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 причины 03 "Исправление ошибок прошлых лет, выявленных в отчетном периоде, по корреспонденциям со счетами, предназначенными для отражения ошибок прошлых лет":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уменьшилась кредиторская задолженность по расчету с подотчетными лицами на сумму 0,06 руб., выявлены ошибки прошлых лет, сделаны исправления.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коду причины 06 "Иные причины, предусмотренные законодательством РФ":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уменьшилась кредиторская задолженность по доходам счет 120511000 (стр.470) на сумму 15 500,00 руб. по данным УФНС РК, отражает показатели по исправлению ошибок (пересчету показателей) в бюджетном учете Управления, выявленных за 2023 год;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уменьшились доходы будущих периодов счет 1401400000 (стр.510) на сумму 0,14 руб. - по данным УФНС РК, отражает показатели по исправлению ошибок (пересчету показателей) в бюджетном учете Управления, выявленных за 9 месяцев 2023 года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финансовый результат экономического субъекта увеличился на сумму 255 800 616,51 руб. 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Справочная таблица к отчету об исполнении консолидированного бюджета субъекта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  <w:proofErr w:type="gramStart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</w:t>
            </w:r>
            <w:proofErr w:type="gramEnd"/>
            <w:r w:rsidRPr="0014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ф.0503387G)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стр.12500 отклонение с ф.0503387М(декабрь) на сумму 1 232 918,45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ошибочно указанием суммы за декабрь м-ц;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стр.12510 отклонение с ф.0503387М(декабрь) на сумму 173 870,95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ошибочно указанием суммы за декабрь м-ц;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стр.12520 отклонение с ф.0503387М(декабрь) на сумму 209 447,00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руб.в</w:t>
            </w:r>
            <w:proofErr w:type="spellEnd"/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ошибочно указанием суммы за декабрь м-ц;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стр.12530 отклонение с ф.0503387М(декабрь) на сумму 1 197 342,40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ошибочно указанием суммы за декабрь м-ц;</w:t>
            </w:r>
          </w:p>
          <w:p w:rsidR="00252B35" w:rsidRPr="001442D2" w:rsidRDefault="00252B35" w:rsidP="00252B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стр.22500 отклонение с ф.0503387М(декабрь) на сумму 1 298 031,58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1442D2"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ошибочно указанием суммы за декабрь м-ц. </w:t>
            </w:r>
          </w:p>
          <w:p w:rsidR="00506C0B" w:rsidRPr="001442D2" w:rsidRDefault="00506C0B" w:rsidP="005B6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4B0B" w:rsidRPr="00E30B26" w:rsidRDefault="005F4B0B" w:rsidP="005B6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66E5" w:rsidRPr="00E30B26" w:rsidRDefault="005B66E5" w:rsidP="005B66E5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E30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                                                                                         В.А.</w:t>
            </w:r>
            <w:r w:rsidR="0005090B" w:rsidRPr="00E30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5B66E5" w:rsidRPr="00BB5E7B" w:rsidRDefault="005B66E5" w:rsidP="005004E2">
            <w:pPr>
              <w:tabs>
                <w:tab w:val="left" w:pos="7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004E2" w:rsidRPr="005B66E5" w:rsidRDefault="005004E2" w:rsidP="00E25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5004E2" w:rsidRPr="005B66E5" w:rsidSect="00D4404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526D"/>
    <w:multiLevelType w:val="hybridMultilevel"/>
    <w:tmpl w:val="E8C0CDAC"/>
    <w:lvl w:ilvl="0" w:tplc="50706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1626B2"/>
    <w:multiLevelType w:val="hybridMultilevel"/>
    <w:tmpl w:val="C6D6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84F17"/>
    <w:multiLevelType w:val="multilevel"/>
    <w:tmpl w:val="A1CED1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80" w:hanging="600"/>
      </w:pPr>
    </w:lvl>
    <w:lvl w:ilvl="2">
      <w:start w:val="1"/>
      <w:numFmt w:val="decimal"/>
      <w:isLgl/>
      <w:lvlText w:val="%1.%2.%3"/>
      <w:lvlJc w:val="left"/>
      <w:pPr>
        <w:ind w:left="3556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3" w15:restartNumberingAfterBreak="0">
    <w:nsid w:val="188904AC"/>
    <w:multiLevelType w:val="hybridMultilevel"/>
    <w:tmpl w:val="D390D24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636DF"/>
    <w:multiLevelType w:val="hybridMultilevel"/>
    <w:tmpl w:val="8004BA6A"/>
    <w:lvl w:ilvl="0" w:tplc="FC305C28">
      <w:start w:val="1"/>
      <w:numFmt w:val="bullet"/>
      <w:lvlText w:val="-"/>
      <w:lvlJc w:val="left"/>
      <w:pPr>
        <w:ind w:left="100" w:hanging="117"/>
      </w:pPr>
      <w:rPr>
        <w:rFonts w:ascii="Calibri" w:eastAsia="Calibri" w:hAnsi="Calibri" w:hint="default"/>
        <w:sz w:val="22"/>
        <w:szCs w:val="22"/>
      </w:rPr>
    </w:lvl>
    <w:lvl w:ilvl="1" w:tplc="DD56AAC8">
      <w:start w:val="1"/>
      <w:numFmt w:val="bullet"/>
      <w:lvlText w:val="•"/>
      <w:lvlJc w:val="left"/>
      <w:pPr>
        <w:ind w:left="1080" w:hanging="117"/>
      </w:pPr>
      <w:rPr>
        <w:rFonts w:hint="default"/>
      </w:rPr>
    </w:lvl>
    <w:lvl w:ilvl="2" w:tplc="3D72C7BA">
      <w:start w:val="1"/>
      <w:numFmt w:val="bullet"/>
      <w:lvlText w:val="•"/>
      <w:lvlJc w:val="left"/>
      <w:pPr>
        <w:ind w:left="2060" w:hanging="117"/>
      </w:pPr>
      <w:rPr>
        <w:rFonts w:hint="default"/>
      </w:rPr>
    </w:lvl>
    <w:lvl w:ilvl="3" w:tplc="A37C34AE">
      <w:start w:val="1"/>
      <w:numFmt w:val="bullet"/>
      <w:lvlText w:val="•"/>
      <w:lvlJc w:val="left"/>
      <w:pPr>
        <w:ind w:left="3040" w:hanging="117"/>
      </w:pPr>
      <w:rPr>
        <w:rFonts w:hint="default"/>
      </w:rPr>
    </w:lvl>
    <w:lvl w:ilvl="4" w:tplc="7B1C63FE">
      <w:start w:val="1"/>
      <w:numFmt w:val="bullet"/>
      <w:lvlText w:val="•"/>
      <w:lvlJc w:val="left"/>
      <w:pPr>
        <w:ind w:left="4020" w:hanging="117"/>
      </w:pPr>
      <w:rPr>
        <w:rFonts w:hint="default"/>
      </w:rPr>
    </w:lvl>
    <w:lvl w:ilvl="5" w:tplc="5E06A096">
      <w:start w:val="1"/>
      <w:numFmt w:val="bullet"/>
      <w:lvlText w:val="•"/>
      <w:lvlJc w:val="left"/>
      <w:pPr>
        <w:ind w:left="5000" w:hanging="117"/>
      </w:pPr>
      <w:rPr>
        <w:rFonts w:hint="default"/>
      </w:rPr>
    </w:lvl>
    <w:lvl w:ilvl="6" w:tplc="34DC24A8">
      <w:start w:val="1"/>
      <w:numFmt w:val="bullet"/>
      <w:lvlText w:val="•"/>
      <w:lvlJc w:val="left"/>
      <w:pPr>
        <w:ind w:left="5980" w:hanging="117"/>
      </w:pPr>
      <w:rPr>
        <w:rFonts w:hint="default"/>
      </w:rPr>
    </w:lvl>
    <w:lvl w:ilvl="7" w:tplc="8BD4B572">
      <w:start w:val="1"/>
      <w:numFmt w:val="bullet"/>
      <w:lvlText w:val="•"/>
      <w:lvlJc w:val="left"/>
      <w:pPr>
        <w:ind w:left="6960" w:hanging="117"/>
      </w:pPr>
      <w:rPr>
        <w:rFonts w:hint="default"/>
      </w:rPr>
    </w:lvl>
    <w:lvl w:ilvl="8" w:tplc="755A7A74">
      <w:start w:val="1"/>
      <w:numFmt w:val="bullet"/>
      <w:lvlText w:val="•"/>
      <w:lvlJc w:val="left"/>
      <w:pPr>
        <w:ind w:left="7940" w:hanging="117"/>
      </w:pPr>
      <w:rPr>
        <w:rFonts w:hint="default"/>
      </w:rPr>
    </w:lvl>
  </w:abstractNum>
  <w:abstractNum w:abstractNumId="5" w15:restartNumberingAfterBreak="0">
    <w:nsid w:val="2751133A"/>
    <w:multiLevelType w:val="hybridMultilevel"/>
    <w:tmpl w:val="F1DE592A"/>
    <w:lvl w:ilvl="0" w:tplc="3A6E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60095F"/>
    <w:multiLevelType w:val="hybridMultilevel"/>
    <w:tmpl w:val="4408343C"/>
    <w:lvl w:ilvl="0" w:tplc="6A12A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E76615"/>
    <w:multiLevelType w:val="hybridMultilevel"/>
    <w:tmpl w:val="DAF43D8E"/>
    <w:lvl w:ilvl="0" w:tplc="F2D2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11FB8"/>
    <w:multiLevelType w:val="hybridMultilevel"/>
    <w:tmpl w:val="75C2176E"/>
    <w:lvl w:ilvl="0" w:tplc="4E5A2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7127FB"/>
    <w:multiLevelType w:val="hybridMultilevel"/>
    <w:tmpl w:val="F9221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0E00C0"/>
    <w:multiLevelType w:val="hybridMultilevel"/>
    <w:tmpl w:val="52DC1BAC"/>
    <w:lvl w:ilvl="0" w:tplc="6A12A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065965"/>
    <w:multiLevelType w:val="hybridMultilevel"/>
    <w:tmpl w:val="EA208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A2710"/>
    <w:multiLevelType w:val="hybridMultilevel"/>
    <w:tmpl w:val="53C4EFE6"/>
    <w:lvl w:ilvl="0" w:tplc="6A12AA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81B2334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AC40C5"/>
    <w:multiLevelType w:val="hybridMultilevel"/>
    <w:tmpl w:val="F46A2E74"/>
    <w:lvl w:ilvl="0" w:tplc="6A12AA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405F9C"/>
    <w:multiLevelType w:val="hybridMultilevel"/>
    <w:tmpl w:val="79504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4"/>
  </w:num>
  <w:num w:numId="8">
    <w:abstractNumId w:val="10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63F2E"/>
    <w:rsid w:val="000004EB"/>
    <w:rsid w:val="00004EA8"/>
    <w:rsid w:val="00005936"/>
    <w:rsid w:val="00007EEB"/>
    <w:rsid w:val="00012819"/>
    <w:rsid w:val="0001538E"/>
    <w:rsid w:val="000203F4"/>
    <w:rsid w:val="000231E7"/>
    <w:rsid w:val="00023B13"/>
    <w:rsid w:val="000251C7"/>
    <w:rsid w:val="00030356"/>
    <w:rsid w:val="00031021"/>
    <w:rsid w:val="00033A10"/>
    <w:rsid w:val="00034DD5"/>
    <w:rsid w:val="000370F9"/>
    <w:rsid w:val="000371B4"/>
    <w:rsid w:val="00040989"/>
    <w:rsid w:val="000410E3"/>
    <w:rsid w:val="00044D81"/>
    <w:rsid w:val="000472AF"/>
    <w:rsid w:val="00047C73"/>
    <w:rsid w:val="0005090B"/>
    <w:rsid w:val="000534BB"/>
    <w:rsid w:val="000562AC"/>
    <w:rsid w:val="0005645B"/>
    <w:rsid w:val="0006147F"/>
    <w:rsid w:val="0006445D"/>
    <w:rsid w:val="00072034"/>
    <w:rsid w:val="00073A86"/>
    <w:rsid w:val="00074A53"/>
    <w:rsid w:val="00075C32"/>
    <w:rsid w:val="00080D31"/>
    <w:rsid w:val="000829D0"/>
    <w:rsid w:val="00084214"/>
    <w:rsid w:val="000865F9"/>
    <w:rsid w:val="000876A4"/>
    <w:rsid w:val="000938CB"/>
    <w:rsid w:val="000939A2"/>
    <w:rsid w:val="00093CFD"/>
    <w:rsid w:val="000970E3"/>
    <w:rsid w:val="000A4834"/>
    <w:rsid w:val="000B50AA"/>
    <w:rsid w:val="000C10EB"/>
    <w:rsid w:val="000C407D"/>
    <w:rsid w:val="000C7DD4"/>
    <w:rsid w:val="000D0AF3"/>
    <w:rsid w:val="000D5251"/>
    <w:rsid w:val="000D5378"/>
    <w:rsid w:val="000E28D8"/>
    <w:rsid w:val="000E49B4"/>
    <w:rsid w:val="000E7A65"/>
    <w:rsid w:val="000F0381"/>
    <w:rsid w:val="000F16CB"/>
    <w:rsid w:val="000F198B"/>
    <w:rsid w:val="000F2C55"/>
    <w:rsid w:val="000F37D0"/>
    <w:rsid w:val="000F4579"/>
    <w:rsid w:val="000F47AC"/>
    <w:rsid w:val="000F7560"/>
    <w:rsid w:val="001015E6"/>
    <w:rsid w:val="00103E94"/>
    <w:rsid w:val="001052E0"/>
    <w:rsid w:val="00107949"/>
    <w:rsid w:val="001126B5"/>
    <w:rsid w:val="00112BE0"/>
    <w:rsid w:val="0011453F"/>
    <w:rsid w:val="00115018"/>
    <w:rsid w:val="00116E3B"/>
    <w:rsid w:val="00117304"/>
    <w:rsid w:val="001200E2"/>
    <w:rsid w:val="00122D50"/>
    <w:rsid w:val="001276B2"/>
    <w:rsid w:val="00130ED0"/>
    <w:rsid w:val="00131A69"/>
    <w:rsid w:val="00132D0C"/>
    <w:rsid w:val="00132E6A"/>
    <w:rsid w:val="00133EF6"/>
    <w:rsid w:val="0014108B"/>
    <w:rsid w:val="00142C98"/>
    <w:rsid w:val="001442D2"/>
    <w:rsid w:val="001459FB"/>
    <w:rsid w:val="00145A68"/>
    <w:rsid w:val="001554C1"/>
    <w:rsid w:val="00155B2C"/>
    <w:rsid w:val="001560B7"/>
    <w:rsid w:val="001607E8"/>
    <w:rsid w:val="00170CE8"/>
    <w:rsid w:val="0017388E"/>
    <w:rsid w:val="00174366"/>
    <w:rsid w:val="0017477E"/>
    <w:rsid w:val="001769AE"/>
    <w:rsid w:val="00176F46"/>
    <w:rsid w:val="001779F1"/>
    <w:rsid w:val="00181196"/>
    <w:rsid w:val="00181A77"/>
    <w:rsid w:val="00182391"/>
    <w:rsid w:val="00182BC1"/>
    <w:rsid w:val="00183968"/>
    <w:rsid w:val="00183FF1"/>
    <w:rsid w:val="00184857"/>
    <w:rsid w:val="00185E05"/>
    <w:rsid w:val="00185F56"/>
    <w:rsid w:val="00187384"/>
    <w:rsid w:val="00190B86"/>
    <w:rsid w:val="00191A7E"/>
    <w:rsid w:val="001945BD"/>
    <w:rsid w:val="001A06F7"/>
    <w:rsid w:val="001A2305"/>
    <w:rsid w:val="001A280F"/>
    <w:rsid w:val="001A32AD"/>
    <w:rsid w:val="001A388B"/>
    <w:rsid w:val="001A6730"/>
    <w:rsid w:val="001B1CB1"/>
    <w:rsid w:val="001B2DEA"/>
    <w:rsid w:val="001B3EB5"/>
    <w:rsid w:val="001B4E05"/>
    <w:rsid w:val="001B557D"/>
    <w:rsid w:val="001B70A2"/>
    <w:rsid w:val="001C1BE5"/>
    <w:rsid w:val="001C259F"/>
    <w:rsid w:val="001C3BF7"/>
    <w:rsid w:val="001C51BE"/>
    <w:rsid w:val="001C6177"/>
    <w:rsid w:val="001C6509"/>
    <w:rsid w:val="001C65F8"/>
    <w:rsid w:val="001C78AF"/>
    <w:rsid w:val="001D10DB"/>
    <w:rsid w:val="001D3086"/>
    <w:rsid w:val="001D3E2E"/>
    <w:rsid w:val="001D4D74"/>
    <w:rsid w:val="001D4E9A"/>
    <w:rsid w:val="001E1477"/>
    <w:rsid w:val="001E4AEB"/>
    <w:rsid w:val="001F04D8"/>
    <w:rsid w:val="001F1910"/>
    <w:rsid w:val="001F2ED6"/>
    <w:rsid w:val="001F44B6"/>
    <w:rsid w:val="001F6FF2"/>
    <w:rsid w:val="001F715B"/>
    <w:rsid w:val="00200974"/>
    <w:rsid w:val="00203939"/>
    <w:rsid w:val="0020705E"/>
    <w:rsid w:val="00210DA6"/>
    <w:rsid w:val="002113CD"/>
    <w:rsid w:val="002136AF"/>
    <w:rsid w:val="00214CE4"/>
    <w:rsid w:val="00215251"/>
    <w:rsid w:val="0021562C"/>
    <w:rsid w:val="0022146B"/>
    <w:rsid w:val="00223E9B"/>
    <w:rsid w:val="002241BA"/>
    <w:rsid w:val="00231863"/>
    <w:rsid w:val="00231D1E"/>
    <w:rsid w:val="00232986"/>
    <w:rsid w:val="00232C88"/>
    <w:rsid w:val="00234D1C"/>
    <w:rsid w:val="00235C0D"/>
    <w:rsid w:val="002376E4"/>
    <w:rsid w:val="002469E8"/>
    <w:rsid w:val="00252B35"/>
    <w:rsid w:val="0026008D"/>
    <w:rsid w:val="002607D2"/>
    <w:rsid w:val="00260FDB"/>
    <w:rsid w:val="00270D47"/>
    <w:rsid w:val="002757AB"/>
    <w:rsid w:val="00277660"/>
    <w:rsid w:val="002812AA"/>
    <w:rsid w:val="00281FD7"/>
    <w:rsid w:val="002822FC"/>
    <w:rsid w:val="00284B5A"/>
    <w:rsid w:val="002850D7"/>
    <w:rsid w:val="0028599F"/>
    <w:rsid w:val="0028786A"/>
    <w:rsid w:val="0028789A"/>
    <w:rsid w:val="00290AC6"/>
    <w:rsid w:val="00297CC4"/>
    <w:rsid w:val="002A0D46"/>
    <w:rsid w:val="002A7059"/>
    <w:rsid w:val="002A728A"/>
    <w:rsid w:val="002B0E84"/>
    <w:rsid w:val="002B1390"/>
    <w:rsid w:val="002B1589"/>
    <w:rsid w:val="002B268B"/>
    <w:rsid w:val="002B3D88"/>
    <w:rsid w:val="002B79C6"/>
    <w:rsid w:val="002C4C77"/>
    <w:rsid w:val="002C638E"/>
    <w:rsid w:val="002D1367"/>
    <w:rsid w:val="002D1A39"/>
    <w:rsid w:val="002D2886"/>
    <w:rsid w:val="002D28E3"/>
    <w:rsid w:val="002D2AE7"/>
    <w:rsid w:val="002D4BE7"/>
    <w:rsid w:val="002D5242"/>
    <w:rsid w:val="002D5959"/>
    <w:rsid w:val="002D6346"/>
    <w:rsid w:val="002E2008"/>
    <w:rsid w:val="002E2765"/>
    <w:rsid w:val="002E4FB8"/>
    <w:rsid w:val="002F227F"/>
    <w:rsid w:val="002F2321"/>
    <w:rsid w:val="002F2CD8"/>
    <w:rsid w:val="002F35C6"/>
    <w:rsid w:val="002F541B"/>
    <w:rsid w:val="003030B3"/>
    <w:rsid w:val="00305A2D"/>
    <w:rsid w:val="0031109F"/>
    <w:rsid w:val="003110CD"/>
    <w:rsid w:val="00311C1E"/>
    <w:rsid w:val="00321E97"/>
    <w:rsid w:val="00324FBA"/>
    <w:rsid w:val="00325212"/>
    <w:rsid w:val="003263BF"/>
    <w:rsid w:val="003308D2"/>
    <w:rsid w:val="0033214D"/>
    <w:rsid w:val="0033353E"/>
    <w:rsid w:val="00335F18"/>
    <w:rsid w:val="003406D5"/>
    <w:rsid w:val="003417B3"/>
    <w:rsid w:val="00345352"/>
    <w:rsid w:val="00345CE6"/>
    <w:rsid w:val="00352D17"/>
    <w:rsid w:val="00352E38"/>
    <w:rsid w:val="00354239"/>
    <w:rsid w:val="00355ACF"/>
    <w:rsid w:val="00356699"/>
    <w:rsid w:val="003629C3"/>
    <w:rsid w:val="00371CB0"/>
    <w:rsid w:val="00373DDA"/>
    <w:rsid w:val="00395884"/>
    <w:rsid w:val="003A1C7D"/>
    <w:rsid w:val="003A677F"/>
    <w:rsid w:val="003B68C2"/>
    <w:rsid w:val="003B793C"/>
    <w:rsid w:val="003B7A21"/>
    <w:rsid w:val="003C263A"/>
    <w:rsid w:val="003C36C3"/>
    <w:rsid w:val="003C431A"/>
    <w:rsid w:val="003C5B96"/>
    <w:rsid w:val="003C624A"/>
    <w:rsid w:val="003C72CF"/>
    <w:rsid w:val="003D2C90"/>
    <w:rsid w:val="003D694E"/>
    <w:rsid w:val="003D6D16"/>
    <w:rsid w:val="003D7F98"/>
    <w:rsid w:val="003E04EB"/>
    <w:rsid w:val="003E0982"/>
    <w:rsid w:val="003E12AB"/>
    <w:rsid w:val="004017D6"/>
    <w:rsid w:val="00401C6E"/>
    <w:rsid w:val="00402255"/>
    <w:rsid w:val="00402449"/>
    <w:rsid w:val="00412A7F"/>
    <w:rsid w:val="004253AC"/>
    <w:rsid w:val="004274CC"/>
    <w:rsid w:val="00430E07"/>
    <w:rsid w:val="0043107C"/>
    <w:rsid w:val="004350FF"/>
    <w:rsid w:val="004355D2"/>
    <w:rsid w:val="00444B43"/>
    <w:rsid w:val="00444C3C"/>
    <w:rsid w:val="00445E8F"/>
    <w:rsid w:val="00446E4F"/>
    <w:rsid w:val="00447BF5"/>
    <w:rsid w:val="00451C31"/>
    <w:rsid w:val="004528F2"/>
    <w:rsid w:val="00452EE8"/>
    <w:rsid w:val="00453547"/>
    <w:rsid w:val="00453E07"/>
    <w:rsid w:val="00457BC2"/>
    <w:rsid w:val="00464A20"/>
    <w:rsid w:val="0046582D"/>
    <w:rsid w:val="004671A4"/>
    <w:rsid w:val="00472044"/>
    <w:rsid w:val="004741CB"/>
    <w:rsid w:val="004768A1"/>
    <w:rsid w:val="00483ED6"/>
    <w:rsid w:val="00486705"/>
    <w:rsid w:val="004872E7"/>
    <w:rsid w:val="00490D25"/>
    <w:rsid w:val="00490DA4"/>
    <w:rsid w:val="00491037"/>
    <w:rsid w:val="004936AF"/>
    <w:rsid w:val="0049522A"/>
    <w:rsid w:val="0049631A"/>
    <w:rsid w:val="00496A6F"/>
    <w:rsid w:val="004A34D7"/>
    <w:rsid w:val="004A3BD8"/>
    <w:rsid w:val="004A53FA"/>
    <w:rsid w:val="004A5587"/>
    <w:rsid w:val="004A5D1A"/>
    <w:rsid w:val="004B2491"/>
    <w:rsid w:val="004B486B"/>
    <w:rsid w:val="004B5680"/>
    <w:rsid w:val="004B72C4"/>
    <w:rsid w:val="004C20E1"/>
    <w:rsid w:val="004C2370"/>
    <w:rsid w:val="004C26A9"/>
    <w:rsid w:val="004C4BC8"/>
    <w:rsid w:val="004C5362"/>
    <w:rsid w:val="004D3C51"/>
    <w:rsid w:val="004D55F3"/>
    <w:rsid w:val="004D5639"/>
    <w:rsid w:val="004D64EE"/>
    <w:rsid w:val="004E0D43"/>
    <w:rsid w:val="004E2D2F"/>
    <w:rsid w:val="004E2E36"/>
    <w:rsid w:val="004E534A"/>
    <w:rsid w:val="004E5361"/>
    <w:rsid w:val="004E657F"/>
    <w:rsid w:val="004F3298"/>
    <w:rsid w:val="004F6A1C"/>
    <w:rsid w:val="005004E2"/>
    <w:rsid w:val="00502AF1"/>
    <w:rsid w:val="00505F6B"/>
    <w:rsid w:val="005061AF"/>
    <w:rsid w:val="00506C0B"/>
    <w:rsid w:val="005104C5"/>
    <w:rsid w:val="00512BE0"/>
    <w:rsid w:val="005155A3"/>
    <w:rsid w:val="00517A82"/>
    <w:rsid w:val="00517B28"/>
    <w:rsid w:val="00520B47"/>
    <w:rsid w:val="005259A8"/>
    <w:rsid w:val="005316AF"/>
    <w:rsid w:val="005323F2"/>
    <w:rsid w:val="00535DD1"/>
    <w:rsid w:val="00535E22"/>
    <w:rsid w:val="00541462"/>
    <w:rsid w:val="0054281F"/>
    <w:rsid w:val="00543DB1"/>
    <w:rsid w:val="005452B0"/>
    <w:rsid w:val="00545848"/>
    <w:rsid w:val="00550C0B"/>
    <w:rsid w:val="00557A34"/>
    <w:rsid w:val="005611E9"/>
    <w:rsid w:val="0056367A"/>
    <w:rsid w:val="00567D6A"/>
    <w:rsid w:val="00567DF6"/>
    <w:rsid w:val="005719EC"/>
    <w:rsid w:val="00571E2B"/>
    <w:rsid w:val="005735A3"/>
    <w:rsid w:val="00573A84"/>
    <w:rsid w:val="00580FFD"/>
    <w:rsid w:val="0058319A"/>
    <w:rsid w:val="005865A4"/>
    <w:rsid w:val="00586D56"/>
    <w:rsid w:val="00587337"/>
    <w:rsid w:val="00593850"/>
    <w:rsid w:val="00594BB1"/>
    <w:rsid w:val="005B0A7E"/>
    <w:rsid w:val="005B3161"/>
    <w:rsid w:val="005B4281"/>
    <w:rsid w:val="005B52BB"/>
    <w:rsid w:val="005B66E5"/>
    <w:rsid w:val="005B6A1B"/>
    <w:rsid w:val="005B7BF5"/>
    <w:rsid w:val="005C27B7"/>
    <w:rsid w:val="005D29A4"/>
    <w:rsid w:val="005D46F5"/>
    <w:rsid w:val="005D4AC7"/>
    <w:rsid w:val="005D62CF"/>
    <w:rsid w:val="005E2549"/>
    <w:rsid w:val="005F01B0"/>
    <w:rsid w:val="005F09E9"/>
    <w:rsid w:val="005F3346"/>
    <w:rsid w:val="005F4046"/>
    <w:rsid w:val="005F4B0B"/>
    <w:rsid w:val="005F4EEF"/>
    <w:rsid w:val="005F6A51"/>
    <w:rsid w:val="005F6ED4"/>
    <w:rsid w:val="005F71D4"/>
    <w:rsid w:val="0060098E"/>
    <w:rsid w:val="006023BC"/>
    <w:rsid w:val="006033DD"/>
    <w:rsid w:val="00603C37"/>
    <w:rsid w:val="006040AD"/>
    <w:rsid w:val="00606330"/>
    <w:rsid w:val="00607DF6"/>
    <w:rsid w:val="00610637"/>
    <w:rsid w:val="00616311"/>
    <w:rsid w:val="00621C30"/>
    <w:rsid w:val="00622361"/>
    <w:rsid w:val="00626930"/>
    <w:rsid w:val="00626BF8"/>
    <w:rsid w:val="006322AD"/>
    <w:rsid w:val="006331AB"/>
    <w:rsid w:val="00634D32"/>
    <w:rsid w:val="006363F1"/>
    <w:rsid w:val="006403A2"/>
    <w:rsid w:val="006426F4"/>
    <w:rsid w:val="006557C5"/>
    <w:rsid w:val="00657064"/>
    <w:rsid w:val="006579DB"/>
    <w:rsid w:val="006649F2"/>
    <w:rsid w:val="006706EC"/>
    <w:rsid w:val="00673DF8"/>
    <w:rsid w:val="006746DD"/>
    <w:rsid w:val="00674D2D"/>
    <w:rsid w:val="006817D3"/>
    <w:rsid w:val="00685566"/>
    <w:rsid w:val="006871A0"/>
    <w:rsid w:val="00690C44"/>
    <w:rsid w:val="00691C95"/>
    <w:rsid w:val="00692F3D"/>
    <w:rsid w:val="0069397F"/>
    <w:rsid w:val="00693A46"/>
    <w:rsid w:val="006945A8"/>
    <w:rsid w:val="006948F6"/>
    <w:rsid w:val="00694921"/>
    <w:rsid w:val="006A09F3"/>
    <w:rsid w:val="006A325C"/>
    <w:rsid w:val="006A3474"/>
    <w:rsid w:val="006A388B"/>
    <w:rsid w:val="006B5090"/>
    <w:rsid w:val="006B54D8"/>
    <w:rsid w:val="006C088D"/>
    <w:rsid w:val="006C19B6"/>
    <w:rsid w:val="006C71FF"/>
    <w:rsid w:val="006D1AE8"/>
    <w:rsid w:val="006D2757"/>
    <w:rsid w:val="006D2C95"/>
    <w:rsid w:val="006D6736"/>
    <w:rsid w:val="006E1756"/>
    <w:rsid w:val="006E3411"/>
    <w:rsid w:val="006E4A92"/>
    <w:rsid w:val="006F0DE3"/>
    <w:rsid w:val="006F1113"/>
    <w:rsid w:val="006F5248"/>
    <w:rsid w:val="007011DD"/>
    <w:rsid w:val="007018C7"/>
    <w:rsid w:val="00703807"/>
    <w:rsid w:val="00703FEF"/>
    <w:rsid w:val="007044F8"/>
    <w:rsid w:val="00707192"/>
    <w:rsid w:val="00707232"/>
    <w:rsid w:val="00716CA6"/>
    <w:rsid w:val="00721F19"/>
    <w:rsid w:val="007243C7"/>
    <w:rsid w:val="007247DA"/>
    <w:rsid w:val="007261EE"/>
    <w:rsid w:val="007351C7"/>
    <w:rsid w:val="00735999"/>
    <w:rsid w:val="00736864"/>
    <w:rsid w:val="007374C7"/>
    <w:rsid w:val="0074094D"/>
    <w:rsid w:val="00743CE9"/>
    <w:rsid w:val="007465CD"/>
    <w:rsid w:val="00751292"/>
    <w:rsid w:val="00752062"/>
    <w:rsid w:val="007559C2"/>
    <w:rsid w:val="00757EDD"/>
    <w:rsid w:val="00760390"/>
    <w:rsid w:val="00760671"/>
    <w:rsid w:val="007615C8"/>
    <w:rsid w:val="00761EE0"/>
    <w:rsid w:val="00765FDB"/>
    <w:rsid w:val="0077072B"/>
    <w:rsid w:val="00771955"/>
    <w:rsid w:val="00777E94"/>
    <w:rsid w:val="00781112"/>
    <w:rsid w:val="007822F5"/>
    <w:rsid w:val="0078533D"/>
    <w:rsid w:val="00787433"/>
    <w:rsid w:val="00787669"/>
    <w:rsid w:val="007903E5"/>
    <w:rsid w:val="00792496"/>
    <w:rsid w:val="00792C27"/>
    <w:rsid w:val="00792FC3"/>
    <w:rsid w:val="007A7BC2"/>
    <w:rsid w:val="007B46E5"/>
    <w:rsid w:val="007B4C83"/>
    <w:rsid w:val="007B5F6C"/>
    <w:rsid w:val="007C089E"/>
    <w:rsid w:val="007C215C"/>
    <w:rsid w:val="007C3050"/>
    <w:rsid w:val="007C46CA"/>
    <w:rsid w:val="007C6981"/>
    <w:rsid w:val="007C7901"/>
    <w:rsid w:val="007D11C7"/>
    <w:rsid w:val="007D3335"/>
    <w:rsid w:val="007D3362"/>
    <w:rsid w:val="007D66B1"/>
    <w:rsid w:val="007E0253"/>
    <w:rsid w:val="007E2717"/>
    <w:rsid w:val="007E46EE"/>
    <w:rsid w:val="007E5A32"/>
    <w:rsid w:val="007F040C"/>
    <w:rsid w:val="00803356"/>
    <w:rsid w:val="00803DCB"/>
    <w:rsid w:val="00810D6E"/>
    <w:rsid w:val="00816FBB"/>
    <w:rsid w:val="00826267"/>
    <w:rsid w:val="008278F7"/>
    <w:rsid w:val="00833E88"/>
    <w:rsid w:val="00834500"/>
    <w:rsid w:val="008351E1"/>
    <w:rsid w:val="0084203A"/>
    <w:rsid w:val="0084412D"/>
    <w:rsid w:val="00846204"/>
    <w:rsid w:val="0085115D"/>
    <w:rsid w:val="00853524"/>
    <w:rsid w:val="00854FFF"/>
    <w:rsid w:val="008570D0"/>
    <w:rsid w:val="00860448"/>
    <w:rsid w:val="008645B5"/>
    <w:rsid w:val="008737CF"/>
    <w:rsid w:val="00874E29"/>
    <w:rsid w:val="00877B04"/>
    <w:rsid w:val="00880D0A"/>
    <w:rsid w:val="00884872"/>
    <w:rsid w:val="0089089B"/>
    <w:rsid w:val="008A1A51"/>
    <w:rsid w:val="008A78F5"/>
    <w:rsid w:val="008B0796"/>
    <w:rsid w:val="008B1A89"/>
    <w:rsid w:val="008B2037"/>
    <w:rsid w:val="008B3256"/>
    <w:rsid w:val="008B58B0"/>
    <w:rsid w:val="008B6C55"/>
    <w:rsid w:val="008B7B7B"/>
    <w:rsid w:val="008C114C"/>
    <w:rsid w:val="008C1BF4"/>
    <w:rsid w:val="008C1EE9"/>
    <w:rsid w:val="008C3F89"/>
    <w:rsid w:val="008D4D43"/>
    <w:rsid w:val="008E0AC5"/>
    <w:rsid w:val="008E3121"/>
    <w:rsid w:val="008E5716"/>
    <w:rsid w:val="008E64B4"/>
    <w:rsid w:val="008E7BC6"/>
    <w:rsid w:val="008F0A31"/>
    <w:rsid w:val="008F18F6"/>
    <w:rsid w:val="008F2428"/>
    <w:rsid w:val="008F26C5"/>
    <w:rsid w:val="008F2F14"/>
    <w:rsid w:val="008F57E3"/>
    <w:rsid w:val="00900716"/>
    <w:rsid w:val="00906034"/>
    <w:rsid w:val="00906D32"/>
    <w:rsid w:val="009100BA"/>
    <w:rsid w:val="0091307C"/>
    <w:rsid w:val="00915666"/>
    <w:rsid w:val="00917F82"/>
    <w:rsid w:val="00920E55"/>
    <w:rsid w:val="0092151E"/>
    <w:rsid w:val="00924D08"/>
    <w:rsid w:val="00927433"/>
    <w:rsid w:val="009303BB"/>
    <w:rsid w:val="00931F59"/>
    <w:rsid w:val="00932E02"/>
    <w:rsid w:val="00935F45"/>
    <w:rsid w:val="00940434"/>
    <w:rsid w:val="00941DA9"/>
    <w:rsid w:val="009435B4"/>
    <w:rsid w:val="00943609"/>
    <w:rsid w:val="00943C35"/>
    <w:rsid w:val="00945338"/>
    <w:rsid w:val="00953FE1"/>
    <w:rsid w:val="009545ED"/>
    <w:rsid w:val="00961180"/>
    <w:rsid w:val="00961432"/>
    <w:rsid w:val="00961F74"/>
    <w:rsid w:val="009626D0"/>
    <w:rsid w:val="00962A87"/>
    <w:rsid w:val="00962D67"/>
    <w:rsid w:val="00964B69"/>
    <w:rsid w:val="00965F81"/>
    <w:rsid w:val="00966900"/>
    <w:rsid w:val="009700D1"/>
    <w:rsid w:val="00972217"/>
    <w:rsid w:val="009724BE"/>
    <w:rsid w:val="009728A3"/>
    <w:rsid w:val="009728E3"/>
    <w:rsid w:val="00976644"/>
    <w:rsid w:val="00977CFD"/>
    <w:rsid w:val="009809B6"/>
    <w:rsid w:val="00980C33"/>
    <w:rsid w:val="0098210E"/>
    <w:rsid w:val="009836AC"/>
    <w:rsid w:val="00984097"/>
    <w:rsid w:val="00985FC6"/>
    <w:rsid w:val="009905F3"/>
    <w:rsid w:val="00994A18"/>
    <w:rsid w:val="009975C6"/>
    <w:rsid w:val="009A1934"/>
    <w:rsid w:val="009A3EC0"/>
    <w:rsid w:val="009A40C7"/>
    <w:rsid w:val="009B2452"/>
    <w:rsid w:val="009B629F"/>
    <w:rsid w:val="009B6D5C"/>
    <w:rsid w:val="009C750B"/>
    <w:rsid w:val="009C7561"/>
    <w:rsid w:val="009D30C2"/>
    <w:rsid w:val="009D418E"/>
    <w:rsid w:val="009D4459"/>
    <w:rsid w:val="009D4C4B"/>
    <w:rsid w:val="009D5FC1"/>
    <w:rsid w:val="009D6C84"/>
    <w:rsid w:val="009D75FB"/>
    <w:rsid w:val="009E242C"/>
    <w:rsid w:val="009E45D5"/>
    <w:rsid w:val="009E5CEA"/>
    <w:rsid w:val="009E7424"/>
    <w:rsid w:val="009F3FAD"/>
    <w:rsid w:val="009F401E"/>
    <w:rsid w:val="009F4CD0"/>
    <w:rsid w:val="00A01C90"/>
    <w:rsid w:val="00A026C5"/>
    <w:rsid w:val="00A0326D"/>
    <w:rsid w:val="00A06C7B"/>
    <w:rsid w:val="00A070DB"/>
    <w:rsid w:val="00A075F9"/>
    <w:rsid w:val="00A1588A"/>
    <w:rsid w:val="00A15DEF"/>
    <w:rsid w:val="00A25C14"/>
    <w:rsid w:val="00A260C4"/>
    <w:rsid w:val="00A30AEB"/>
    <w:rsid w:val="00A30B8A"/>
    <w:rsid w:val="00A3172D"/>
    <w:rsid w:val="00A37B0B"/>
    <w:rsid w:val="00A43303"/>
    <w:rsid w:val="00A5075B"/>
    <w:rsid w:val="00A55573"/>
    <w:rsid w:val="00A5560C"/>
    <w:rsid w:val="00A55E2E"/>
    <w:rsid w:val="00A6040B"/>
    <w:rsid w:val="00A61447"/>
    <w:rsid w:val="00A64EAB"/>
    <w:rsid w:val="00A6797C"/>
    <w:rsid w:val="00A70893"/>
    <w:rsid w:val="00A71D62"/>
    <w:rsid w:val="00A74ADD"/>
    <w:rsid w:val="00A75445"/>
    <w:rsid w:val="00A75712"/>
    <w:rsid w:val="00A81073"/>
    <w:rsid w:val="00A82957"/>
    <w:rsid w:val="00A837E7"/>
    <w:rsid w:val="00A83AB5"/>
    <w:rsid w:val="00A841DF"/>
    <w:rsid w:val="00A85A73"/>
    <w:rsid w:val="00A90143"/>
    <w:rsid w:val="00A91DBF"/>
    <w:rsid w:val="00A9536E"/>
    <w:rsid w:val="00A95B61"/>
    <w:rsid w:val="00A95C2F"/>
    <w:rsid w:val="00AA2772"/>
    <w:rsid w:val="00AB4142"/>
    <w:rsid w:val="00AC2C9E"/>
    <w:rsid w:val="00AD57C2"/>
    <w:rsid w:val="00AD75C3"/>
    <w:rsid w:val="00AD7924"/>
    <w:rsid w:val="00AE28D7"/>
    <w:rsid w:val="00AE2EB2"/>
    <w:rsid w:val="00AE3967"/>
    <w:rsid w:val="00AE6EDC"/>
    <w:rsid w:val="00AE70B1"/>
    <w:rsid w:val="00AF149F"/>
    <w:rsid w:val="00AF1D4A"/>
    <w:rsid w:val="00AF6AE1"/>
    <w:rsid w:val="00B01C29"/>
    <w:rsid w:val="00B05F0E"/>
    <w:rsid w:val="00B06D34"/>
    <w:rsid w:val="00B10DB4"/>
    <w:rsid w:val="00B11473"/>
    <w:rsid w:val="00B13B82"/>
    <w:rsid w:val="00B176AD"/>
    <w:rsid w:val="00B21458"/>
    <w:rsid w:val="00B279F3"/>
    <w:rsid w:val="00B32497"/>
    <w:rsid w:val="00B32C5B"/>
    <w:rsid w:val="00B373FC"/>
    <w:rsid w:val="00B4007F"/>
    <w:rsid w:val="00B41D84"/>
    <w:rsid w:val="00B43C73"/>
    <w:rsid w:val="00B43E71"/>
    <w:rsid w:val="00B4458D"/>
    <w:rsid w:val="00B447F5"/>
    <w:rsid w:val="00B466B7"/>
    <w:rsid w:val="00B468FA"/>
    <w:rsid w:val="00B472EB"/>
    <w:rsid w:val="00B505C8"/>
    <w:rsid w:val="00B52AFD"/>
    <w:rsid w:val="00B5304E"/>
    <w:rsid w:val="00B543E3"/>
    <w:rsid w:val="00B63642"/>
    <w:rsid w:val="00B64404"/>
    <w:rsid w:val="00B663CB"/>
    <w:rsid w:val="00B67F91"/>
    <w:rsid w:val="00B71CE4"/>
    <w:rsid w:val="00B72B70"/>
    <w:rsid w:val="00B73A71"/>
    <w:rsid w:val="00B77720"/>
    <w:rsid w:val="00B80743"/>
    <w:rsid w:val="00B80AA9"/>
    <w:rsid w:val="00B80F30"/>
    <w:rsid w:val="00B824FE"/>
    <w:rsid w:val="00B82532"/>
    <w:rsid w:val="00B91E5D"/>
    <w:rsid w:val="00B92C08"/>
    <w:rsid w:val="00BA0A4D"/>
    <w:rsid w:val="00BA29B7"/>
    <w:rsid w:val="00BA3C3B"/>
    <w:rsid w:val="00BA4F40"/>
    <w:rsid w:val="00BA6903"/>
    <w:rsid w:val="00BA70C2"/>
    <w:rsid w:val="00BB374D"/>
    <w:rsid w:val="00BB459C"/>
    <w:rsid w:val="00BB59D7"/>
    <w:rsid w:val="00BB5A45"/>
    <w:rsid w:val="00BB5E7B"/>
    <w:rsid w:val="00BB7175"/>
    <w:rsid w:val="00BC044D"/>
    <w:rsid w:val="00BC13C1"/>
    <w:rsid w:val="00BC446B"/>
    <w:rsid w:val="00BC57A4"/>
    <w:rsid w:val="00BC70F8"/>
    <w:rsid w:val="00BC7253"/>
    <w:rsid w:val="00BD2BE0"/>
    <w:rsid w:val="00BD52C1"/>
    <w:rsid w:val="00BD6A42"/>
    <w:rsid w:val="00BD6A95"/>
    <w:rsid w:val="00BE283C"/>
    <w:rsid w:val="00BE6191"/>
    <w:rsid w:val="00BE684C"/>
    <w:rsid w:val="00BE7842"/>
    <w:rsid w:val="00BF02EC"/>
    <w:rsid w:val="00BF112F"/>
    <w:rsid w:val="00BF7056"/>
    <w:rsid w:val="00BF7DD8"/>
    <w:rsid w:val="00C04A19"/>
    <w:rsid w:val="00C05159"/>
    <w:rsid w:val="00C07C99"/>
    <w:rsid w:val="00C11288"/>
    <w:rsid w:val="00C15C80"/>
    <w:rsid w:val="00C202D3"/>
    <w:rsid w:val="00C23456"/>
    <w:rsid w:val="00C35786"/>
    <w:rsid w:val="00C41CFD"/>
    <w:rsid w:val="00C42B63"/>
    <w:rsid w:val="00C44361"/>
    <w:rsid w:val="00C444C2"/>
    <w:rsid w:val="00C45D1D"/>
    <w:rsid w:val="00C469D3"/>
    <w:rsid w:val="00C474BC"/>
    <w:rsid w:val="00C47734"/>
    <w:rsid w:val="00C478BD"/>
    <w:rsid w:val="00C509AB"/>
    <w:rsid w:val="00C52194"/>
    <w:rsid w:val="00C6014E"/>
    <w:rsid w:val="00C6017F"/>
    <w:rsid w:val="00C60762"/>
    <w:rsid w:val="00C607B3"/>
    <w:rsid w:val="00C62CAC"/>
    <w:rsid w:val="00C64FF9"/>
    <w:rsid w:val="00C6608A"/>
    <w:rsid w:val="00C70D64"/>
    <w:rsid w:val="00C71FC6"/>
    <w:rsid w:val="00C74A2E"/>
    <w:rsid w:val="00C74F1D"/>
    <w:rsid w:val="00C83DCC"/>
    <w:rsid w:val="00C91F5B"/>
    <w:rsid w:val="00C92AAB"/>
    <w:rsid w:val="00C939D6"/>
    <w:rsid w:val="00C93A27"/>
    <w:rsid w:val="00C952B0"/>
    <w:rsid w:val="00C96762"/>
    <w:rsid w:val="00C97EAD"/>
    <w:rsid w:val="00CA1058"/>
    <w:rsid w:val="00CA22F8"/>
    <w:rsid w:val="00CA43F1"/>
    <w:rsid w:val="00CB399D"/>
    <w:rsid w:val="00CB47DA"/>
    <w:rsid w:val="00CB5CF0"/>
    <w:rsid w:val="00CB5EBB"/>
    <w:rsid w:val="00CB6575"/>
    <w:rsid w:val="00CB7855"/>
    <w:rsid w:val="00CC0B6E"/>
    <w:rsid w:val="00CC4723"/>
    <w:rsid w:val="00CC71DB"/>
    <w:rsid w:val="00CC7575"/>
    <w:rsid w:val="00CC7CF7"/>
    <w:rsid w:val="00CD0797"/>
    <w:rsid w:val="00CD1E8A"/>
    <w:rsid w:val="00CD5CD0"/>
    <w:rsid w:val="00CE5BC7"/>
    <w:rsid w:val="00CE7C07"/>
    <w:rsid w:val="00CF0558"/>
    <w:rsid w:val="00CF0900"/>
    <w:rsid w:val="00CF0ADF"/>
    <w:rsid w:val="00CF221C"/>
    <w:rsid w:val="00CF44DA"/>
    <w:rsid w:val="00CF4708"/>
    <w:rsid w:val="00CF4EA7"/>
    <w:rsid w:val="00D00C08"/>
    <w:rsid w:val="00D028E7"/>
    <w:rsid w:val="00D05533"/>
    <w:rsid w:val="00D0705C"/>
    <w:rsid w:val="00D102BD"/>
    <w:rsid w:val="00D1172F"/>
    <w:rsid w:val="00D12FA2"/>
    <w:rsid w:val="00D145D3"/>
    <w:rsid w:val="00D173C2"/>
    <w:rsid w:val="00D2370D"/>
    <w:rsid w:val="00D2441C"/>
    <w:rsid w:val="00D26221"/>
    <w:rsid w:val="00D300CE"/>
    <w:rsid w:val="00D3156E"/>
    <w:rsid w:val="00D31CA3"/>
    <w:rsid w:val="00D4317D"/>
    <w:rsid w:val="00D4404D"/>
    <w:rsid w:val="00D451AB"/>
    <w:rsid w:val="00D46489"/>
    <w:rsid w:val="00D47DE8"/>
    <w:rsid w:val="00D51E23"/>
    <w:rsid w:val="00D61183"/>
    <w:rsid w:val="00D62A9D"/>
    <w:rsid w:val="00D638A4"/>
    <w:rsid w:val="00D63F2E"/>
    <w:rsid w:val="00D648D4"/>
    <w:rsid w:val="00D66BC9"/>
    <w:rsid w:val="00D83013"/>
    <w:rsid w:val="00D86EF6"/>
    <w:rsid w:val="00D91D3F"/>
    <w:rsid w:val="00DA2911"/>
    <w:rsid w:val="00DA4838"/>
    <w:rsid w:val="00DA6568"/>
    <w:rsid w:val="00DB2D7C"/>
    <w:rsid w:val="00DB349C"/>
    <w:rsid w:val="00DB3DEB"/>
    <w:rsid w:val="00DB4367"/>
    <w:rsid w:val="00DB5D7D"/>
    <w:rsid w:val="00DC0876"/>
    <w:rsid w:val="00DC299D"/>
    <w:rsid w:val="00DC6EF1"/>
    <w:rsid w:val="00DD0D35"/>
    <w:rsid w:val="00DD196B"/>
    <w:rsid w:val="00DD3FB0"/>
    <w:rsid w:val="00DD4079"/>
    <w:rsid w:val="00DD4D2F"/>
    <w:rsid w:val="00DD5AF2"/>
    <w:rsid w:val="00DD6FCF"/>
    <w:rsid w:val="00DE0A09"/>
    <w:rsid w:val="00DE153C"/>
    <w:rsid w:val="00DE1AA6"/>
    <w:rsid w:val="00DE51E1"/>
    <w:rsid w:val="00DE65C3"/>
    <w:rsid w:val="00DF2AF2"/>
    <w:rsid w:val="00E00F88"/>
    <w:rsid w:val="00E02C16"/>
    <w:rsid w:val="00E03BA7"/>
    <w:rsid w:val="00E12D5C"/>
    <w:rsid w:val="00E12DBF"/>
    <w:rsid w:val="00E1411C"/>
    <w:rsid w:val="00E20FF4"/>
    <w:rsid w:val="00E22505"/>
    <w:rsid w:val="00E24CA6"/>
    <w:rsid w:val="00E25F85"/>
    <w:rsid w:val="00E26005"/>
    <w:rsid w:val="00E30B26"/>
    <w:rsid w:val="00E32ED8"/>
    <w:rsid w:val="00E3372F"/>
    <w:rsid w:val="00E34306"/>
    <w:rsid w:val="00E34DFF"/>
    <w:rsid w:val="00E41620"/>
    <w:rsid w:val="00E478BD"/>
    <w:rsid w:val="00E53A68"/>
    <w:rsid w:val="00E53F19"/>
    <w:rsid w:val="00E54DA4"/>
    <w:rsid w:val="00E54FFC"/>
    <w:rsid w:val="00E5640A"/>
    <w:rsid w:val="00E60B08"/>
    <w:rsid w:val="00E61E40"/>
    <w:rsid w:val="00E62875"/>
    <w:rsid w:val="00E66393"/>
    <w:rsid w:val="00E66681"/>
    <w:rsid w:val="00E67309"/>
    <w:rsid w:val="00E678A6"/>
    <w:rsid w:val="00E6790B"/>
    <w:rsid w:val="00E72CB8"/>
    <w:rsid w:val="00E73C28"/>
    <w:rsid w:val="00E75C33"/>
    <w:rsid w:val="00E762B9"/>
    <w:rsid w:val="00E810D0"/>
    <w:rsid w:val="00E81BF9"/>
    <w:rsid w:val="00E81E94"/>
    <w:rsid w:val="00E82680"/>
    <w:rsid w:val="00E85D8E"/>
    <w:rsid w:val="00E865CA"/>
    <w:rsid w:val="00E90DE4"/>
    <w:rsid w:val="00E95256"/>
    <w:rsid w:val="00E95B31"/>
    <w:rsid w:val="00E95C74"/>
    <w:rsid w:val="00E971CB"/>
    <w:rsid w:val="00EA2530"/>
    <w:rsid w:val="00EA3735"/>
    <w:rsid w:val="00EA5780"/>
    <w:rsid w:val="00EA7541"/>
    <w:rsid w:val="00EA7C5A"/>
    <w:rsid w:val="00EB0DB1"/>
    <w:rsid w:val="00EB61E1"/>
    <w:rsid w:val="00EB6445"/>
    <w:rsid w:val="00EB7A4A"/>
    <w:rsid w:val="00EC24AA"/>
    <w:rsid w:val="00EC640E"/>
    <w:rsid w:val="00ED0F70"/>
    <w:rsid w:val="00ED2FE0"/>
    <w:rsid w:val="00ED561A"/>
    <w:rsid w:val="00ED6930"/>
    <w:rsid w:val="00EE085D"/>
    <w:rsid w:val="00EE3511"/>
    <w:rsid w:val="00EE4D3A"/>
    <w:rsid w:val="00EF2119"/>
    <w:rsid w:val="00EF7335"/>
    <w:rsid w:val="00EF7BCB"/>
    <w:rsid w:val="00F0309F"/>
    <w:rsid w:val="00F16EAF"/>
    <w:rsid w:val="00F16F11"/>
    <w:rsid w:val="00F172F5"/>
    <w:rsid w:val="00F176C8"/>
    <w:rsid w:val="00F24969"/>
    <w:rsid w:val="00F25064"/>
    <w:rsid w:val="00F340E8"/>
    <w:rsid w:val="00F3432B"/>
    <w:rsid w:val="00F34355"/>
    <w:rsid w:val="00F3455D"/>
    <w:rsid w:val="00F40402"/>
    <w:rsid w:val="00F4333B"/>
    <w:rsid w:val="00F43B35"/>
    <w:rsid w:val="00F43D72"/>
    <w:rsid w:val="00F445E0"/>
    <w:rsid w:val="00F45E99"/>
    <w:rsid w:val="00F554FD"/>
    <w:rsid w:val="00F56D47"/>
    <w:rsid w:val="00F67354"/>
    <w:rsid w:val="00F700DA"/>
    <w:rsid w:val="00F7096E"/>
    <w:rsid w:val="00F70D2B"/>
    <w:rsid w:val="00F71393"/>
    <w:rsid w:val="00F72689"/>
    <w:rsid w:val="00F73C40"/>
    <w:rsid w:val="00F74148"/>
    <w:rsid w:val="00F75459"/>
    <w:rsid w:val="00F772B6"/>
    <w:rsid w:val="00F77DF7"/>
    <w:rsid w:val="00F813DA"/>
    <w:rsid w:val="00F83CA7"/>
    <w:rsid w:val="00F83D86"/>
    <w:rsid w:val="00F843EC"/>
    <w:rsid w:val="00F87B62"/>
    <w:rsid w:val="00F90AF9"/>
    <w:rsid w:val="00F9360F"/>
    <w:rsid w:val="00FA5B29"/>
    <w:rsid w:val="00FA5B9B"/>
    <w:rsid w:val="00FB011D"/>
    <w:rsid w:val="00FB400B"/>
    <w:rsid w:val="00FB4607"/>
    <w:rsid w:val="00FB6471"/>
    <w:rsid w:val="00FB7DEE"/>
    <w:rsid w:val="00FC084C"/>
    <w:rsid w:val="00FC0CA1"/>
    <w:rsid w:val="00FC0EFA"/>
    <w:rsid w:val="00FC0F60"/>
    <w:rsid w:val="00FC36B3"/>
    <w:rsid w:val="00FC4F13"/>
    <w:rsid w:val="00FC55E6"/>
    <w:rsid w:val="00FD2652"/>
    <w:rsid w:val="00FD6798"/>
    <w:rsid w:val="00FE754A"/>
    <w:rsid w:val="00FF0CC7"/>
    <w:rsid w:val="00FF47E3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08198E-7828-4384-A4D0-3A12086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63F2E"/>
  </w:style>
  <w:style w:type="character" w:customStyle="1" w:styleId="style371">
    <w:name w:val="style371"/>
    <w:basedOn w:val="a0"/>
    <w:uiPriority w:val="99"/>
    <w:rsid w:val="00D63F2E"/>
  </w:style>
  <w:style w:type="paragraph" w:styleId="a3">
    <w:name w:val="Normal (Web)"/>
    <w:basedOn w:val="a"/>
    <w:uiPriority w:val="99"/>
    <w:rsid w:val="00D6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5F45"/>
    <w:pPr>
      <w:ind w:left="720"/>
    </w:pPr>
  </w:style>
  <w:style w:type="paragraph" w:styleId="a5">
    <w:name w:val="Body Text"/>
    <w:basedOn w:val="a"/>
    <w:link w:val="a6"/>
    <w:uiPriority w:val="99"/>
    <w:rsid w:val="00626930"/>
    <w:pPr>
      <w:spacing w:after="0" w:line="240" w:lineRule="auto"/>
      <w:ind w:firstLine="720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62693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269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rsid w:val="00112BE0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"/>
    <w:basedOn w:val="a"/>
    <w:rsid w:val="001769A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unhideWhenUsed/>
    <w:rsid w:val="002113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113CD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4FD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d"/>
    <w:uiPriority w:val="1"/>
    <w:locked/>
    <w:rsid w:val="003C5B96"/>
    <w:rPr>
      <w:rFonts w:eastAsia="Times New Roman"/>
    </w:rPr>
  </w:style>
  <w:style w:type="paragraph" w:styleId="ad">
    <w:name w:val="No Spacing"/>
    <w:link w:val="ac"/>
    <w:uiPriority w:val="1"/>
    <w:qFormat/>
    <w:rsid w:val="003C5B96"/>
    <w:rPr>
      <w:rFonts w:eastAsia="Times New Roman"/>
    </w:rPr>
  </w:style>
  <w:style w:type="numbering" w:customStyle="1" w:styleId="10">
    <w:name w:val="Нет списка1"/>
    <w:next w:val="a2"/>
    <w:uiPriority w:val="99"/>
    <w:semiHidden/>
    <w:unhideWhenUsed/>
    <w:rsid w:val="00AE28D7"/>
  </w:style>
  <w:style w:type="character" w:customStyle="1" w:styleId="11">
    <w:name w:val="Номер строки1"/>
    <w:basedOn w:val="a0"/>
    <w:uiPriority w:val="99"/>
    <w:rsid w:val="00AE28D7"/>
    <w:rPr>
      <w:sz w:val="22"/>
      <w:szCs w:val="22"/>
    </w:rPr>
  </w:style>
  <w:style w:type="character" w:styleId="ae">
    <w:name w:val="Hyperlink"/>
    <w:basedOn w:val="a0"/>
    <w:uiPriority w:val="99"/>
    <w:rsid w:val="00AE28D7"/>
    <w:rPr>
      <w:color w:val="0000FF"/>
      <w:sz w:val="22"/>
      <w:szCs w:val="22"/>
      <w:u w:val="single"/>
    </w:rPr>
  </w:style>
  <w:style w:type="table" w:styleId="12">
    <w:name w:val="Table Simple 1"/>
    <w:basedOn w:val="a1"/>
    <w:uiPriority w:val="99"/>
    <w:rsid w:val="00AE28D7"/>
    <w:pPr>
      <w:autoSpaceDE w:val="0"/>
      <w:autoSpaceDN w:val="0"/>
      <w:adjustRightInd w:val="0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table" w:customStyle="1" w:styleId="TableNormal">
    <w:name w:val="Table Normal"/>
    <w:uiPriority w:val="2"/>
    <w:semiHidden/>
    <w:unhideWhenUsed/>
    <w:qFormat/>
    <w:rsid w:val="005004E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004E2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theme="minorBidi"/>
      <w:b/>
      <w:bCs/>
      <w:sz w:val="24"/>
      <w:szCs w:val="24"/>
      <w:lang w:val="en-US"/>
    </w:rPr>
  </w:style>
  <w:style w:type="paragraph" w:customStyle="1" w:styleId="31">
    <w:name w:val="Заголовок 31"/>
    <w:basedOn w:val="a"/>
    <w:uiPriority w:val="1"/>
    <w:qFormat/>
    <w:rsid w:val="005004E2"/>
    <w:pPr>
      <w:widowControl w:val="0"/>
      <w:spacing w:after="0" w:line="240" w:lineRule="auto"/>
      <w:ind w:left="800"/>
      <w:outlineLvl w:val="3"/>
    </w:pPr>
    <w:rPr>
      <w:rFonts w:cstheme="minorBidi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5004E2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styleId="af">
    <w:name w:val="Table Grid"/>
    <w:basedOn w:val="a1"/>
    <w:locked/>
    <w:rsid w:val="00321E97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next w:val="af"/>
    <w:rsid w:val="00402255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945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5BD"/>
    <w:rPr>
      <w:rFonts w:cs="Calibri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semiHidden/>
    <w:unhideWhenUsed/>
    <w:rsid w:val="00E34D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E34DF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185&amp;dst=19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72;&#1085;&#1102;&#1082;&#1086;&#1074;&#1072;%20&#1051;&#1044;\AppData\Local\Temp\2780682.101482.0.77147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DA92-A3AB-416D-A8BF-B3C8BC4E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14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Людмила</cp:lastModifiedBy>
  <cp:revision>82</cp:revision>
  <cp:lastPrinted>2024-03-12T13:07:00Z</cp:lastPrinted>
  <dcterms:created xsi:type="dcterms:W3CDTF">2021-04-19T06:55:00Z</dcterms:created>
  <dcterms:modified xsi:type="dcterms:W3CDTF">2024-04-01T05:56:00Z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поясниетльная</vt:lpwstr>
  </property>
  <property fmtid="{D5CDD505-2E9C-101B-9397-08002B2CF9AE}" pid="4" name="_AuthorEmail">
    <vt:lpwstr>l.a.lyubimenko@kortkeros.rkomi.ru</vt:lpwstr>
  </property>
  <property fmtid="{D5CDD505-2E9C-101B-9397-08002B2CF9AE}" pid="5" name="_AuthorEmailDisplayName">
    <vt:lpwstr>Любименко Людмила Анатольевна</vt:lpwstr>
  </property>
</Properties>
</file>