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E8" w:rsidRPr="003548DB" w:rsidRDefault="005A6EE8" w:rsidP="003548DB">
      <w:pPr>
        <w:pStyle w:val="ConsPlusTitle"/>
        <w:ind w:firstLine="540"/>
        <w:jc w:val="center"/>
        <w:outlineLvl w:val="0"/>
        <w:rPr>
          <w:sz w:val="28"/>
          <w:szCs w:val="28"/>
        </w:rPr>
      </w:pPr>
      <w:r w:rsidRPr="005A6EE8">
        <w:br/>
      </w:r>
      <w:bookmarkStart w:id="0" w:name="_GoBack"/>
      <w:r w:rsidRPr="003548DB">
        <w:rPr>
          <w:sz w:val="28"/>
          <w:szCs w:val="28"/>
        </w:rPr>
        <w:t>ст. 42, Закон Республики Коми от 01.10.2007 N 88-РЗ (ред. от 23.10.2020) "О бюджетной системе и бюджетном процессе в Республике Коми" (принят ГС РК 13.09.2007)</w:t>
      </w:r>
    </w:p>
    <w:bookmarkEnd w:id="0"/>
    <w:p w:rsidR="005A6EE8" w:rsidRDefault="005A6EE8">
      <w:pPr>
        <w:pStyle w:val="ConsPlusTitle"/>
        <w:ind w:firstLine="540"/>
        <w:jc w:val="both"/>
        <w:outlineLvl w:val="0"/>
      </w:pPr>
    </w:p>
    <w:p w:rsidR="005A6EE8" w:rsidRDefault="005A6EE8">
      <w:pPr>
        <w:pStyle w:val="ConsPlusTitle"/>
        <w:ind w:firstLine="540"/>
        <w:jc w:val="both"/>
        <w:outlineLvl w:val="0"/>
      </w:pPr>
      <w:r>
        <w:t>Статья 42. Дотации на выравнивание бюджетной обеспеченности поселений в Республике Коми</w:t>
      </w:r>
    </w:p>
    <w:p w:rsidR="005A6EE8" w:rsidRDefault="005A6EE8">
      <w:pPr>
        <w:pStyle w:val="ConsPlusNormal"/>
      </w:pPr>
    </w:p>
    <w:p w:rsidR="005A6EE8" w:rsidRDefault="005A6EE8">
      <w:pPr>
        <w:pStyle w:val="ConsPlusNormal"/>
        <w:ind w:firstLine="540"/>
        <w:jc w:val="both"/>
      </w:pPr>
      <w:r>
        <w:t xml:space="preserve">1. Дотации на выравнивание бюджетной обеспеченности поселений в Республике Коми (далее - дотации на выравнивание бюджетной обеспеченности поселений) предусматриваются в республиканском бюджете в целях выравнивания финансовых возможностей поселений по осуществлению органами местного самоуправления </w:t>
      </w:r>
      <w:proofErr w:type="gramStart"/>
      <w:r>
        <w:t>полномочий</w:t>
      </w:r>
      <w:proofErr w:type="gramEnd"/>
      <w:r>
        <w:t xml:space="preserve"> по решению вопросов местного значения исходя из численности жителей и (или) бюджетной обеспеченности.</w:t>
      </w:r>
    </w:p>
    <w:p w:rsidR="005A6EE8" w:rsidRDefault="005A6EE8">
      <w:pPr>
        <w:pStyle w:val="ConsPlusNormal"/>
        <w:spacing w:before="240"/>
        <w:ind w:firstLine="540"/>
        <w:jc w:val="both"/>
      </w:pPr>
      <w:r>
        <w:t xml:space="preserve">Абзац исключен. - </w:t>
      </w:r>
      <w:hyperlink r:id="rId5" w:history="1">
        <w:r>
          <w:rPr>
            <w:color w:val="0000FF"/>
          </w:rPr>
          <w:t>Закон</w:t>
        </w:r>
      </w:hyperlink>
      <w:r>
        <w:t xml:space="preserve"> РК от 06.11.2019 N 83-РЗ.</w:t>
      </w:r>
    </w:p>
    <w:p w:rsidR="005A6EE8" w:rsidRDefault="005A6EE8">
      <w:pPr>
        <w:pStyle w:val="ConsPlusNormal"/>
        <w:spacing w:before="240"/>
        <w:ind w:firstLine="540"/>
        <w:jc w:val="both"/>
      </w:pPr>
      <w:r>
        <w:t xml:space="preserve">2. </w:t>
      </w:r>
      <w:proofErr w:type="gramStart"/>
      <w:r>
        <w:t>Объем дотаций на выравнивание бюджетной обеспеченности поселений утверждается законом Республики Коми о республиканском бюджете и определяется исходя из необходимости достижения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установленных законом Республики Коми о республиканском бюджете на очередной финансовый год и плановый период.</w:t>
      </w:r>
      <w:proofErr w:type="gramEnd"/>
    </w:p>
    <w:p w:rsidR="005A6EE8" w:rsidRDefault="005A6EE8">
      <w:pPr>
        <w:pStyle w:val="ConsPlusNormal"/>
        <w:jc w:val="both"/>
      </w:pPr>
      <w:r>
        <w:t xml:space="preserve">(в ред. </w:t>
      </w:r>
      <w:hyperlink r:id="rId6" w:history="1">
        <w:r>
          <w:rPr>
            <w:color w:val="0000FF"/>
          </w:rPr>
          <w:t>Закона</w:t>
        </w:r>
      </w:hyperlink>
      <w:r>
        <w:t xml:space="preserve"> РК от 06.11.2019 N 83-РЗ)</w:t>
      </w:r>
    </w:p>
    <w:p w:rsidR="005A6EE8" w:rsidRDefault="005A6EE8">
      <w:pPr>
        <w:pStyle w:val="ConsPlusNormal"/>
        <w:spacing w:before="240"/>
        <w:ind w:firstLine="540"/>
        <w:jc w:val="both"/>
      </w:pPr>
      <w:r>
        <w:t xml:space="preserve">Абзац исключен. - </w:t>
      </w:r>
      <w:hyperlink r:id="rId7" w:history="1">
        <w:r>
          <w:rPr>
            <w:color w:val="0000FF"/>
          </w:rPr>
          <w:t>Закон</w:t>
        </w:r>
      </w:hyperlink>
      <w:r>
        <w:t xml:space="preserve"> РК от 06.11.2019 N 83-РЗ.</w:t>
      </w:r>
    </w:p>
    <w:p w:rsidR="005A6EE8" w:rsidRDefault="005A6EE8">
      <w:pPr>
        <w:pStyle w:val="ConsPlusNormal"/>
        <w:jc w:val="both"/>
      </w:pPr>
      <w:r>
        <w:t xml:space="preserve">(часть 2 в ред. </w:t>
      </w:r>
      <w:hyperlink r:id="rId8" w:history="1">
        <w:r>
          <w:rPr>
            <w:color w:val="0000FF"/>
          </w:rPr>
          <w:t>Закона</w:t>
        </w:r>
      </w:hyperlink>
      <w:r>
        <w:t xml:space="preserve"> РК от 27.04.2015 N 36-РЗ)</w:t>
      </w:r>
    </w:p>
    <w:p w:rsidR="005A6EE8" w:rsidRDefault="005A6EE8">
      <w:pPr>
        <w:pStyle w:val="ConsPlusNormal"/>
        <w:spacing w:before="240"/>
        <w:ind w:firstLine="540"/>
        <w:jc w:val="both"/>
      </w:pPr>
      <w:r>
        <w:t xml:space="preserve">3. Размер дотации на выравнивание бюджетной обеспеченности поселений определяется для каждого </w:t>
      </w:r>
      <w:proofErr w:type="gramStart"/>
      <w:r>
        <w:t>поселения</w:t>
      </w:r>
      <w:proofErr w:type="gramEnd"/>
      <w:r>
        <w:t xml:space="preserve"> в Республике Коми исходя из численности жителей поселения в расчете на одного жителя.</w:t>
      </w:r>
    </w:p>
    <w:p w:rsidR="005A6EE8" w:rsidRDefault="005A6EE8">
      <w:pPr>
        <w:pStyle w:val="ConsPlusNormal"/>
        <w:jc w:val="both"/>
      </w:pPr>
      <w:r>
        <w:t xml:space="preserve">(в ред. </w:t>
      </w:r>
      <w:hyperlink r:id="rId9" w:history="1">
        <w:r>
          <w:rPr>
            <w:color w:val="0000FF"/>
          </w:rPr>
          <w:t>Закона</w:t>
        </w:r>
      </w:hyperlink>
      <w:r>
        <w:t xml:space="preserve"> РК от 06.11.2019 N 83-РЗ)</w:t>
      </w:r>
    </w:p>
    <w:p w:rsidR="005A6EE8" w:rsidRDefault="005A6EE8">
      <w:pPr>
        <w:pStyle w:val="ConsPlusNormal"/>
        <w:spacing w:before="240"/>
        <w:ind w:firstLine="540"/>
        <w:jc w:val="both"/>
      </w:pPr>
      <w:r>
        <w:t xml:space="preserve">Право на получение указанной дотации имеют все городские поселения и сельские поселения в Республике Коми, за исключением указанных в </w:t>
      </w:r>
      <w:hyperlink r:id="rId10" w:history="1">
        <w:r>
          <w:rPr>
            <w:color w:val="0000FF"/>
          </w:rPr>
          <w:t>пункте 1 статьи 142.2</w:t>
        </w:r>
      </w:hyperlink>
      <w:r>
        <w:t xml:space="preserve"> Бюджетного кодекса Российской Федерации.</w:t>
      </w:r>
    </w:p>
    <w:p w:rsidR="005A6EE8" w:rsidRDefault="005A6EE8">
      <w:pPr>
        <w:pStyle w:val="ConsPlusNormal"/>
        <w:jc w:val="both"/>
      </w:pPr>
      <w:r>
        <w:t xml:space="preserve">(в ред. </w:t>
      </w:r>
      <w:hyperlink r:id="rId11" w:history="1">
        <w:r>
          <w:rPr>
            <w:color w:val="0000FF"/>
          </w:rPr>
          <w:t>Закона</w:t>
        </w:r>
      </w:hyperlink>
      <w:r>
        <w:t xml:space="preserve"> РК от 06.11.2019 N 83-РЗ)</w:t>
      </w:r>
    </w:p>
    <w:p w:rsidR="005A6EE8" w:rsidRDefault="005A6EE8">
      <w:pPr>
        <w:pStyle w:val="ConsPlusNormal"/>
        <w:spacing w:before="240"/>
        <w:ind w:firstLine="540"/>
        <w:jc w:val="both"/>
      </w:pPr>
      <w:r>
        <w:t>Дотации на выравнивание бюджетной обеспеченности поселений могут полностью или частично распределяться между городскими поселениями, сельскими поселениями исходя из уровня их расчетной бюджетной обеспеченности. Право на получение указанных дотаций имеют все городские поселения, сельские поселения в Республике Коми,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сельских поселений.</w:t>
      </w:r>
    </w:p>
    <w:p w:rsidR="005A6EE8" w:rsidRDefault="005A6EE8">
      <w:pPr>
        <w:pStyle w:val="ConsPlusNormal"/>
        <w:jc w:val="both"/>
      </w:pPr>
      <w:r>
        <w:t xml:space="preserve">(в ред. Законов РК от 27.04.2015 </w:t>
      </w:r>
      <w:hyperlink r:id="rId12" w:history="1">
        <w:r>
          <w:rPr>
            <w:color w:val="0000FF"/>
          </w:rPr>
          <w:t>N 36-РЗ</w:t>
        </w:r>
      </w:hyperlink>
      <w:r>
        <w:t xml:space="preserve">, от 06.11.2019 </w:t>
      </w:r>
      <w:hyperlink r:id="rId13" w:history="1">
        <w:r>
          <w:rPr>
            <w:color w:val="0000FF"/>
          </w:rPr>
          <w:t>N 83-РЗ</w:t>
        </w:r>
      </w:hyperlink>
      <w:r>
        <w:t>)</w:t>
      </w:r>
    </w:p>
    <w:p w:rsidR="005A6EE8" w:rsidRDefault="005A6EE8">
      <w:pPr>
        <w:pStyle w:val="ConsPlusNormal"/>
        <w:spacing w:before="240"/>
        <w:ind w:firstLine="540"/>
        <w:jc w:val="both"/>
      </w:pPr>
      <w:bookmarkStart w:id="1" w:name="P14"/>
      <w:bookmarkEnd w:id="1"/>
      <w:proofErr w:type="gramStart"/>
      <w:r>
        <w:t xml:space="preserve">Уровень расчетной бюджетной обеспеченности городских поселений, сельских поселений определяется соотношением налоговых доходов на одного жителя, которые могут быть получены бюджетом городского поселения, сельского поселения, исходя из уровня развития и структуры экономики и (или) налоговой базы (налогового потенциала) и аналогичного показателя в среднем по городским поселениям, сельским поселениям в </w:t>
      </w:r>
      <w:r>
        <w:lastRenderedPageBreak/>
        <w:t>Республике Коми с учетом различий в структуре населения, социально-экономических, климатических, географических и</w:t>
      </w:r>
      <w:proofErr w:type="gramEnd"/>
      <w:r>
        <w:t xml:space="preserve"> иных объективных факторов и условий, влияющих на стоимость предоставления муниципальных услуг в расчете на одного жителя.</w:t>
      </w:r>
    </w:p>
    <w:p w:rsidR="005A6EE8" w:rsidRDefault="005A6EE8">
      <w:pPr>
        <w:pStyle w:val="ConsPlusNormal"/>
        <w:jc w:val="both"/>
      </w:pPr>
      <w:r>
        <w:t xml:space="preserve">(в ред. Законов РК от 27.04.2015 </w:t>
      </w:r>
      <w:hyperlink r:id="rId14" w:history="1">
        <w:r>
          <w:rPr>
            <w:color w:val="0000FF"/>
          </w:rPr>
          <w:t>N 36-РЗ</w:t>
        </w:r>
      </w:hyperlink>
      <w:r>
        <w:t xml:space="preserve">, от 06.11.2019 </w:t>
      </w:r>
      <w:hyperlink r:id="rId15" w:history="1">
        <w:r>
          <w:rPr>
            <w:color w:val="0000FF"/>
          </w:rPr>
          <w:t>N 83-РЗ</w:t>
        </w:r>
      </w:hyperlink>
      <w:r>
        <w:t>)</w:t>
      </w:r>
    </w:p>
    <w:p w:rsidR="005A6EE8" w:rsidRDefault="005A6EE8">
      <w:pPr>
        <w:pStyle w:val="ConsPlusNormal"/>
        <w:spacing w:before="240"/>
        <w:ind w:firstLine="540"/>
        <w:jc w:val="both"/>
      </w:pPr>
      <w:r>
        <w:t>Указанный уровень расчетной бюджетной обеспеченности определяется отдельно по городским поселениям, сельским поселениям по единой методике, обеспечивающей сопоставимость налоговых доходов,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городским поселениям, сельским поселениям.</w:t>
      </w:r>
    </w:p>
    <w:p w:rsidR="005A6EE8" w:rsidRDefault="005A6EE8">
      <w:pPr>
        <w:pStyle w:val="ConsPlusNormal"/>
        <w:jc w:val="both"/>
      </w:pPr>
      <w:r>
        <w:t xml:space="preserve">(в ред. Законов РК от 27.04.2015 </w:t>
      </w:r>
      <w:hyperlink r:id="rId16" w:history="1">
        <w:r>
          <w:rPr>
            <w:color w:val="0000FF"/>
          </w:rPr>
          <w:t>N 36-РЗ</w:t>
        </w:r>
      </w:hyperlink>
      <w:r>
        <w:t xml:space="preserve">, от 06.11.2019 </w:t>
      </w:r>
      <w:hyperlink r:id="rId17" w:history="1">
        <w:r>
          <w:rPr>
            <w:color w:val="0000FF"/>
          </w:rPr>
          <w:t>N 83-РЗ</w:t>
        </w:r>
      </w:hyperlink>
      <w:r>
        <w:t>)</w:t>
      </w:r>
    </w:p>
    <w:p w:rsidR="005A6EE8" w:rsidRDefault="005A6EE8">
      <w:pPr>
        <w:pStyle w:val="ConsPlusNormal"/>
        <w:spacing w:before="240"/>
        <w:ind w:firstLine="540"/>
        <w:jc w:val="both"/>
      </w:pPr>
      <w:r>
        <w:t xml:space="preserve">В составе дотаций, указанных в настоящей части, могут быть выделены дотации, отражающие отдельные показатели (условия), учитываемые при определении уровня расчетной бюджетной обеспеченности по городским поселениям, сельским поселениям. Особенности расчета указанных дотаций определяются методикой распределения дотаций на выравнивание бюджетной обеспеченности поселений. </w:t>
      </w:r>
      <w:proofErr w:type="gramStart"/>
      <w:r>
        <w:t>Законом Республики Коми о республиканском бюджете и (или) принятыми в соответствии с ним нормативными правовыми актами органов исполнительной власти Республики Коми могут быть установлены особенности перечисления и использования указанных дотаций.</w:t>
      </w:r>
      <w:proofErr w:type="gramEnd"/>
    </w:p>
    <w:p w:rsidR="005A6EE8" w:rsidRDefault="005A6EE8">
      <w:pPr>
        <w:pStyle w:val="ConsPlusNormal"/>
        <w:jc w:val="both"/>
      </w:pPr>
      <w:r>
        <w:t xml:space="preserve">(абзац введен </w:t>
      </w:r>
      <w:hyperlink r:id="rId18" w:history="1">
        <w:r>
          <w:rPr>
            <w:color w:val="0000FF"/>
          </w:rPr>
          <w:t>Законом</w:t>
        </w:r>
      </w:hyperlink>
      <w:r>
        <w:t xml:space="preserve"> РК от 06.11.2019 N 83-РЗ)</w:t>
      </w:r>
    </w:p>
    <w:p w:rsidR="005A6EE8" w:rsidRDefault="005A6EE8">
      <w:pPr>
        <w:pStyle w:val="ConsPlusNormal"/>
        <w:spacing w:before="240"/>
        <w:ind w:firstLine="540"/>
        <w:jc w:val="both"/>
      </w:pPr>
      <w:r>
        <w:t>Использование при определении уровня расчетной бюджетной обеспеченности городских поселений, сельских поселений показателей фактических доходов и расходов за отчетный период и (или) показателей прогнозируемых доходов и расходов бюджетов отдельных городских, сельских поселений не допускается.</w:t>
      </w:r>
    </w:p>
    <w:p w:rsidR="005A6EE8" w:rsidRDefault="005A6EE8">
      <w:pPr>
        <w:pStyle w:val="ConsPlusNormal"/>
        <w:jc w:val="both"/>
      </w:pPr>
      <w:r>
        <w:t xml:space="preserve">(в ред. Законов РК от 27.04.2015 </w:t>
      </w:r>
      <w:hyperlink r:id="rId19" w:history="1">
        <w:r>
          <w:rPr>
            <w:color w:val="0000FF"/>
          </w:rPr>
          <w:t>N 36-РЗ</w:t>
        </w:r>
      </w:hyperlink>
      <w:r>
        <w:t xml:space="preserve">, от 06.11.2019 </w:t>
      </w:r>
      <w:hyperlink r:id="rId20" w:history="1">
        <w:r>
          <w:rPr>
            <w:color w:val="0000FF"/>
          </w:rPr>
          <w:t>N 83-РЗ</w:t>
        </w:r>
      </w:hyperlink>
      <w:r>
        <w:t>)</w:t>
      </w:r>
    </w:p>
    <w:p w:rsidR="005A6EE8" w:rsidRDefault="005A6EE8">
      <w:pPr>
        <w:pStyle w:val="ConsPlusNormal"/>
        <w:jc w:val="both"/>
      </w:pPr>
      <w:r>
        <w:t xml:space="preserve">(часть 3 в ред. </w:t>
      </w:r>
      <w:hyperlink r:id="rId21" w:history="1">
        <w:r>
          <w:rPr>
            <w:color w:val="0000FF"/>
          </w:rPr>
          <w:t>Закона</w:t>
        </w:r>
      </w:hyperlink>
      <w:r>
        <w:t xml:space="preserve"> РК от 30.09.2009 N 96-РЗ)</w:t>
      </w:r>
    </w:p>
    <w:p w:rsidR="005A6EE8" w:rsidRDefault="005A6EE8">
      <w:pPr>
        <w:pStyle w:val="ConsPlusNormal"/>
        <w:spacing w:before="240"/>
        <w:ind w:firstLine="540"/>
        <w:jc w:val="both"/>
      </w:pPr>
      <w:r>
        <w:t xml:space="preserve">3(1). </w:t>
      </w:r>
      <w:proofErr w:type="gramStart"/>
      <w:r>
        <w:t xml:space="preserve">Законом Республики Коми может быть предусмотрено, что при определении уровня расчетной бюджетной обеспеченности городских поселений, сельских поселений помимо налоговых доходов, указанных в </w:t>
      </w:r>
      <w:hyperlink w:anchor="P14" w:history="1">
        <w:r>
          <w:rPr>
            <w:color w:val="0000FF"/>
          </w:rPr>
          <w:t>абзаце четвертом части 3</w:t>
        </w:r>
      </w:hyperlink>
      <w:r>
        <w:t xml:space="preserve"> настоящей статьи, могут учитываться неналоговые доходы бюджетов городских поселений, сельских поселений, формируемые в соответствии с Бюджетным </w:t>
      </w:r>
      <w:hyperlink r:id="rId22" w:history="1">
        <w:r>
          <w:rPr>
            <w:color w:val="0000FF"/>
          </w:rPr>
          <w:t>кодексом</w:t>
        </w:r>
      </w:hyperlink>
      <w:r>
        <w:t xml:space="preserve"> Российской Федерации, и (или) законами Республики Коми, и (или) муниципальными правовыми актами</w:t>
      </w:r>
      <w:proofErr w:type="gramEnd"/>
      <w:r>
        <w:t xml:space="preserve"> представительных органов муниципальных районов за счет:</w:t>
      </w:r>
    </w:p>
    <w:p w:rsidR="005A6EE8" w:rsidRDefault="005A6EE8">
      <w:pPr>
        <w:pStyle w:val="ConsPlusNormal"/>
        <w:spacing w:before="240"/>
        <w:ind w:firstLine="540"/>
        <w:jc w:val="both"/>
      </w:pPr>
      <w:r>
        <w:t>1) платы за негативное воздействие на окружающую среду;</w:t>
      </w:r>
    </w:p>
    <w:p w:rsidR="005A6EE8" w:rsidRDefault="005A6EE8">
      <w:pPr>
        <w:pStyle w:val="ConsPlusNormal"/>
        <w:spacing w:before="240"/>
        <w:ind w:firstLine="540"/>
        <w:jc w:val="both"/>
      </w:pPr>
      <w:r>
        <w:t>2) платы за передачу в аренду земельных участков, государственная собственность на которые не разграничена, а также средств от продажи прав на заключение договоров аренды указанных земельных участков;</w:t>
      </w:r>
    </w:p>
    <w:p w:rsidR="005A6EE8" w:rsidRDefault="005A6EE8">
      <w:pPr>
        <w:pStyle w:val="ConsPlusNormal"/>
        <w:spacing w:before="240"/>
        <w:ind w:firstLine="540"/>
        <w:jc w:val="both"/>
      </w:pPr>
      <w:r>
        <w:t>3) платы за передачу в аренду земельных участков, находящихся в муниципальной собственности, а также средств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5A6EE8" w:rsidRDefault="005A6EE8">
      <w:pPr>
        <w:pStyle w:val="ConsPlusNormal"/>
        <w:jc w:val="both"/>
      </w:pPr>
      <w:r>
        <w:t xml:space="preserve">(часть 3(1) введена </w:t>
      </w:r>
      <w:hyperlink r:id="rId23" w:history="1">
        <w:r>
          <w:rPr>
            <w:color w:val="0000FF"/>
          </w:rPr>
          <w:t>Законом</w:t>
        </w:r>
      </w:hyperlink>
      <w:r>
        <w:t xml:space="preserve"> РК от 06.11.2019 N 83-РЗ)</w:t>
      </w:r>
    </w:p>
    <w:p w:rsidR="005A6EE8" w:rsidRDefault="005A6EE8">
      <w:pPr>
        <w:pStyle w:val="ConsPlusNormal"/>
        <w:spacing w:before="240"/>
        <w:ind w:firstLine="540"/>
        <w:jc w:val="both"/>
      </w:pPr>
      <w:bookmarkStart w:id="2" w:name="P28"/>
      <w:bookmarkEnd w:id="2"/>
      <w:r>
        <w:t xml:space="preserve">4. При составлении и (или) утверждении республиканского бюджета по согласованию с представительными органами муниципальных образований дотации на </w:t>
      </w:r>
      <w:r>
        <w:lastRenderedPageBreak/>
        <w:t>выравнивание бюджетной обеспеченности поселений могут быть полностью или частично заменены дополнительными нормативами отчислений в бюджеты поселений от налога на доходы физических лиц.</w:t>
      </w:r>
    </w:p>
    <w:p w:rsidR="005A6EE8" w:rsidRDefault="005A6EE8">
      <w:pPr>
        <w:pStyle w:val="ConsPlusNormal"/>
        <w:jc w:val="both"/>
      </w:pPr>
      <w:r>
        <w:t xml:space="preserve">(в ред. </w:t>
      </w:r>
      <w:hyperlink r:id="rId24" w:history="1">
        <w:r>
          <w:rPr>
            <w:color w:val="0000FF"/>
          </w:rPr>
          <w:t>Закона</w:t>
        </w:r>
      </w:hyperlink>
      <w:r>
        <w:t xml:space="preserve"> РК от 30.09.2009 N 96-РЗ)</w:t>
      </w:r>
    </w:p>
    <w:p w:rsidR="005A6EE8" w:rsidRDefault="005A6EE8">
      <w:pPr>
        <w:pStyle w:val="ConsPlusNormal"/>
        <w:spacing w:before="240"/>
        <w:ind w:firstLine="540"/>
        <w:jc w:val="both"/>
      </w:pPr>
      <w:r>
        <w:t>Указанный дополнительный норматив рассчитывается как отношение расчетного объема дотации на выравнивание бюджетной обеспеченности поселений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бюджет по территории соответствующего поселения.</w:t>
      </w:r>
    </w:p>
    <w:p w:rsidR="005A6EE8" w:rsidRDefault="005A6EE8">
      <w:pPr>
        <w:pStyle w:val="ConsPlusNormal"/>
        <w:spacing w:before="240"/>
        <w:ind w:firstLine="540"/>
        <w:jc w:val="both"/>
      </w:pPr>
      <w: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поселений в течение текущего финансового года не допускается.</w:t>
      </w:r>
    </w:p>
    <w:p w:rsidR="005A6EE8" w:rsidRDefault="005A6EE8">
      <w:pPr>
        <w:pStyle w:val="ConsPlusNormal"/>
        <w:jc w:val="both"/>
      </w:pPr>
      <w:r>
        <w:t xml:space="preserve">(в ред. </w:t>
      </w:r>
      <w:hyperlink r:id="rId25" w:history="1">
        <w:r>
          <w:rPr>
            <w:color w:val="0000FF"/>
          </w:rPr>
          <w:t>Закона</w:t>
        </w:r>
      </w:hyperlink>
      <w:r>
        <w:t xml:space="preserve"> РК от 30.09.2009 N 96-РЗ)</w:t>
      </w:r>
    </w:p>
    <w:p w:rsidR="005A6EE8" w:rsidRDefault="005A6EE8">
      <w:pPr>
        <w:pStyle w:val="ConsPlusNormal"/>
        <w:spacing w:before="240"/>
        <w:ind w:firstLine="540"/>
        <w:jc w:val="both"/>
      </w:pPr>
      <w:r>
        <w:t>Средства, полученные поселением по дополнительному нормативу отчислений от налога на доходы физических лиц сверх расчетного объема дотации на выравнивание бюджетной обеспеченности поселений (части расчетного объема дотации), изъятию в республиканский бюджет и (или) учету при последующем распределении финансовой помощи местным бюджетам не подлежат.</w:t>
      </w:r>
    </w:p>
    <w:p w:rsidR="005A6EE8" w:rsidRDefault="005A6EE8">
      <w:pPr>
        <w:pStyle w:val="ConsPlusNormal"/>
        <w:jc w:val="both"/>
      </w:pPr>
      <w:r>
        <w:t xml:space="preserve">(в ред. </w:t>
      </w:r>
      <w:hyperlink r:id="rId26" w:history="1">
        <w:r>
          <w:rPr>
            <w:color w:val="0000FF"/>
          </w:rPr>
          <w:t>Закона</w:t>
        </w:r>
      </w:hyperlink>
      <w:r>
        <w:t xml:space="preserve"> РК от 26.04.2013 N 40-РЗ)</w:t>
      </w:r>
    </w:p>
    <w:p w:rsidR="005A6EE8" w:rsidRDefault="005A6EE8">
      <w:pPr>
        <w:pStyle w:val="ConsPlusNormal"/>
        <w:spacing w:before="240"/>
        <w:ind w:firstLine="540"/>
        <w:jc w:val="both"/>
      </w:pPr>
      <w:r>
        <w:t xml:space="preserve">Потери бюджета поселения </w:t>
      </w:r>
      <w:proofErr w:type="gramStart"/>
      <w:r>
        <w:t>в связи с получением средств по дополнительному нормативу отчислений от налога на доходы</w:t>
      </w:r>
      <w:proofErr w:type="gramEnd"/>
      <w:r>
        <w:t xml:space="preserve"> физических лиц ниже расчетного объема дотации на выравнивание бюджетной обеспеченности поселений (части расчетного объема дотации) компенсации из республиканского бюджета и (или) учету при последующем распределении межбюджетных трансфертов местным бюджетам не подлежат.</w:t>
      </w:r>
    </w:p>
    <w:p w:rsidR="005A6EE8" w:rsidRDefault="005A6EE8">
      <w:pPr>
        <w:pStyle w:val="ConsPlusNormal"/>
        <w:jc w:val="both"/>
      </w:pPr>
      <w:r>
        <w:t xml:space="preserve">(в ред. </w:t>
      </w:r>
      <w:hyperlink r:id="rId27" w:history="1">
        <w:r>
          <w:rPr>
            <w:color w:val="0000FF"/>
          </w:rPr>
          <w:t>Закона</w:t>
        </w:r>
      </w:hyperlink>
      <w:r>
        <w:t xml:space="preserve"> РК от 26.04.2013 N 40-РЗ)</w:t>
      </w:r>
    </w:p>
    <w:p w:rsidR="005A6EE8" w:rsidRDefault="005A6EE8">
      <w:pPr>
        <w:pStyle w:val="ConsPlusNormal"/>
        <w:spacing w:before="240"/>
        <w:ind w:firstLine="540"/>
        <w:jc w:val="both"/>
      </w:pPr>
      <w:bookmarkStart w:id="3" w:name="P37"/>
      <w:bookmarkEnd w:id="3"/>
      <w:r>
        <w:t>5. Законом Республики Коми органы местного самоуправления муниципальных районов могут быть наделены полномочиями органов государственной власти Республики Коми по расчету и предоставлению дотаций бюджетам поселений за счет средств республиканского бюджета.</w:t>
      </w:r>
    </w:p>
    <w:p w:rsidR="005A6EE8" w:rsidRDefault="005A6EE8">
      <w:pPr>
        <w:pStyle w:val="ConsPlusNormal"/>
        <w:spacing w:before="240"/>
        <w:ind w:firstLine="540"/>
        <w:jc w:val="both"/>
      </w:pPr>
      <w:proofErr w:type="gramStart"/>
      <w: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на осуществление данных полномочий и порядок (методика) расчета органами местного самоуправления муниципальных районов размера дотаций поселениям, в том числе порядок (методика) расчета и установления заменяющих их дополнительных нормативов отчислений от налога на доходы физических лиц.</w:t>
      </w:r>
      <w:proofErr w:type="gramEnd"/>
    </w:p>
    <w:p w:rsidR="005A6EE8" w:rsidRDefault="005A6EE8">
      <w:pPr>
        <w:pStyle w:val="ConsPlusNormal"/>
        <w:jc w:val="both"/>
      </w:pPr>
      <w:r>
        <w:t xml:space="preserve">(в ред. </w:t>
      </w:r>
      <w:hyperlink r:id="rId28" w:history="1">
        <w:r>
          <w:rPr>
            <w:color w:val="0000FF"/>
          </w:rPr>
          <w:t>Закона</w:t>
        </w:r>
      </w:hyperlink>
      <w:r>
        <w:t xml:space="preserve"> РК от 27.06.2013 N 67-РЗ)</w:t>
      </w:r>
    </w:p>
    <w:p w:rsidR="005A6EE8" w:rsidRDefault="005A6EE8">
      <w:pPr>
        <w:pStyle w:val="ConsPlusNormal"/>
        <w:spacing w:before="240"/>
        <w:ind w:firstLine="540"/>
        <w:jc w:val="both"/>
      </w:pPr>
      <w:r>
        <w:t xml:space="preserve">В случае наделения органов местного самоуправления муниципальных районов полномочиями органов государственной власти Республики Коми, указанными в </w:t>
      </w:r>
      <w:hyperlink w:anchor="P37" w:history="1">
        <w:r>
          <w:rPr>
            <w:color w:val="0000FF"/>
          </w:rPr>
          <w:t>абзаце первом</w:t>
        </w:r>
      </w:hyperlink>
      <w:r>
        <w:t xml:space="preserve"> настоящей части, дотации на выравнивание бюджетной обеспеченности поселений в части, касающейся предоставления дотаций поселениям, находящимся на территории муниципальных районов, в составе республиканского бюджета не предусматриваются. При этом дотации на выравнивание бюджетной обеспеченности поселений, подлежащие перечислению в бюджеты поселений, входящих в состав территории муниципальных районов, распределяются между бюджетами муниципальных районов исходя из численности жителей в расчете на одного жителя в соответствии с </w:t>
      </w:r>
      <w:r>
        <w:lastRenderedPageBreak/>
        <w:t>единой методикой.</w:t>
      </w:r>
    </w:p>
    <w:p w:rsidR="005A6EE8" w:rsidRDefault="005A6EE8">
      <w:pPr>
        <w:pStyle w:val="ConsPlusNormal"/>
        <w:jc w:val="both"/>
      </w:pPr>
      <w:r>
        <w:t xml:space="preserve">(в ред. </w:t>
      </w:r>
      <w:hyperlink r:id="rId29" w:history="1">
        <w:r>
          <w:rPr>
            <w:color w:val="0000FF"/>
          </w:rPr>
          <w:t>Закона</w:t>
        </w:r>
      </w:hyperlink>
      <w:r>
        <w:t xml:space="preserve"> РК от 27.06.2013 N 67-РЗ)</w:t>
      </w:r>
    </w:p>
    <w:p w:rsidR="005A6EE8" w:rsidRDefault="005A6EE8">
      <w:pPr>
        <w:pStyle w:val="ConsPlusNormal"/>
        <w:spacing w:before="240"/>
        <w:ind w:firstLine="540"/>
        <w:jc w:val="both"/>
      </w:pPr>
      <w:r>
        <w:t>Субвенции, полученные бюджетом муниципального района на исполнение полномочий по расчету и предоставлению дотаций поселениям за счет средств республиканского бюджета, включаются в дотации на выравнивание бюджетной обеспеченности поселений.</w:t>
      </w:r>
    </w:p>
    <w:p w:rsidR="005A6EE8" w:rsidRDefault="005A6EE8">
      <w:pPr>
        <w:pStyle w:val="ConsPlusNormal"/>
        <w:spacing w:before="240"/>
        <w:ind w:firstLine="540"/>
        <w:jc w:val="both"/>
      </w:pPr>
      <w:r>
        <w:t>6. Распределение дотаций на выравнивание бюджетной обеспеченности поселений между поселениями и (или) заменяющие их дополнительные нормативы отчислений от налога на доходы физических лиц в бюджеты поселений утверждаются законом Республики Коми о республиканском бюджете.</w:t>
      </w:r>
    </w:p>
    <w:p w:rsidR="005A6EE8" w:rsidRDefault="005A6EE8">
      <w:pPr>
        <w:pStyle w:val="ConsPlusNormal"/>
        <w:spacing w:before="240"/>
        <w:ind w:firstLine="540"/>
        <w:jc w:val="both"/>
      </w:pPr>
      <w:r>
        <w:t>Допускается утверждение на плановый период не распределенного между поселениями объема дотаций на выравнивание бюджетной обеспеченности поселений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5A6EE8" w:rsidRDefault="005A6EE8">
      <w:pPr>
        <w:pStyle w:val="ConsPlusNormal"/>
        <w:jc w:val="both"/>
      </w:pPr>
      <w:r>
        <w:t xml:space="preserve">(абзац введен </w:t>
      </w:r>
      <w:hyperlink r:id="rId30" w:history="1">
        <w:r>
          <w:rPr>
            <w:color w:val="0000FF"/>
          </w:rPr>
          <w:t>Законом</w:t>
        </w:r>
      </w:hyperlink>
      <w:r>
        <w:t xml:space="preserve"> РК от 26.04.2013 N 40-РЗ)</w:t>
      </w:r>
    </w:p>
    <w:p w:rsidR="005A6EE8" w:rsidRDefault="005A6EE8">
      <w:pPr>
        <w:pStyle w:val="ConsPlusNormal"/>
        <w:spacing w:before="240"/>
        <w:ind w:firstLine="540"/>
        <w:jc w:val="both"/>
      </w:pPr>
      <w:r>
        <w:t xml:space="preserve">Абзац исключен. - </w:t>
      </w:r>
      <w:hyperlink r:id="rId31" w:history="1">
        <w:r>
          <w:rPr>
            <w:color w:val="0000FF"/>
          </w:rPr>
          <w:t>Закон</w:t>
        </w:r>
      </w:hyperlink>
      <w:r>
        <w:t xml:space="preserve"> РК от 06.11.2019 N 83-РЗ.</w:t>
      </w:r>
    </w:p>
    <w:p w:rsidR="005A6EE8" w:rsidRDefault="005A6EE8">
      <w:pPr>
        <w:pStyle w:val="ConsPlusNormal"/>
        <w:spacing w:before="240"/>
        <w:ind w:firstLine="540"/>
        <w:jc w:val="both"/>
      </w:pPr>
      <w:proofErr w:type="gramStart"/>
      <w:r>
        <w:t>В случае наделения представительных органов муниципальных районов полномочиями органов государственной власти Республики Коми по расчету и предоставлению дотаций на выравнивание бюджетной обеспеченности поселений из республиканского бюджета распределение указанных дотаций между поселениями соответствующего района и (или) заменяющие их дополнительные нормативы отчислений от налога на доходы физических лиц утверждаются решением представительного органа муниципального района о бюджете муниципального района.</w:t>
      </w:r>
      <w:proofErr w:type="gramEnd"/>
    </w:p>
    <w:p w:rsidR="005A6EE8" w:rsidRDefault="005A6EE8">
      <w:pPr>
        <w:pStyle w:val="ConsPlusNormal"/>
        <w:spacing w:before="240"/>
        <w:ind w:firstLine="540"/>
        <w:jc w:val="both"/>
      </w:pPr>
      <w:r>
        <w:t xml:space="preserve">7. </w:t>
      </w:r>
      <w:proofErr w:type="gramStart"/>
      <w:r>
        <w:t>При определении объема дотаций на выравнивание бюджетной обеспеченности поселений на очередной финансовый год и плановый период не допускается снижение значения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Республики Коми о республиканском бюджете на текущий финансовый год и</w:t>
      </w:r>
      <w:proofErr w:type="gramEnd"/>
      <w:r>
        <w:t xml:space="preserve"> </w:t>
      </w:r>
      <w:proofErr w:type="gramStart"/>
      <w:r>
        <w:t>плановый период, а также размера дотации на выравнивание бюджетной обеспеченности поселений бюджету каждого городского, сельского поселения на очередной финансовый год и первый год планового периода по сравнению с размером дотации на выравнивание бюджетной обеспеченности поселений, утвержденным соответственно на первый год планового периода и второй год планового периода в республиканском бюджете на текущий финансовый год и плановый период, с учетом замены</w:t>
      </w:r>
      <w:proofErr w:type="gramEnd"/>
      <w:r>
        <w:t xml:space="preserve"> дотации (части дотации) дополнительными нормативами отчислений в бюджеты городских поселений, сельских поселений от налога на доходы физических лиц в соответствии с </w:t>
      </w:r>
      <w:hyperlink w:anchor="P28" w:history="1">
        <w:r>
          <w:rPr>
            <w:color w:val="0000FF"/>
          </w:rPr>
          <w:t>частью 4</w:t>
        </w:r>
      </w:hyperlink>
      <w:r>
        <w:t xml:space="preserve"> настоящей статьи, за исключением одного из следующих случаев:</w:t>
      </w:r>
    </w:p>
    <w:p w:rsidR="005A6EE8" w:rsidRDefault="005A6EE8">
      <w:pPr>
        <w:pStyle w:val="ConsPlusNormal"/>
        <w:spacing w:before="240"/>
        <w:ind w:firstLine="540"/>
        <w:jc w:val="both"/>
      </w:pPr>
      <w:r>
        <w:t>1) внесение федеральными законами изменений, приводящих к перераспределению полномочий и (или) доходов бюджетов между Республикой Коми и городскими поселениями, сельскими поселениями;</w:t>
      </w:r>
    </w:p>
    <w:p w:rsidR="005A6EE8" w:rsidRDefault="005A6EE8">
      <w:pPr>
        <w:pStyle w:val="ConsPlusNormal"/>
        <w:spacing w:before="240"/>
        <w:ind w:firstLine="540"/>
        <w:jc w:val="both"/>
      </w:pPr>
      <w:r>
        <w:t xml:space="preserve">2) внесение законами Республики Коми и принятыми в соответствии с ними уставом муниципального района и уставами сельских поселений изменений, приводящих к </w:t>
      </w:r>
      <w:r>
        <w:lastRenderedPageBreak/>
        <w:t>перераспределению вопросов местного значения и (или) доходов бюджетов между муниципальным районом и сельским поселением;</w:t>
      </w:r>
    </w:p>
    <w:p w:rsidR="005A6EE8" w:rsidRDefault="005A6EE8">
      <w:pPr>
        <w:pStyle w:val="ConsPlusNormal"/>
        <w:spacing w:before="240"/>
        <w:ind w:firstLine="540"/>
        <w:jc w:val="both"/>
      </w:pPr>
      <w:r>
        <w:t>3) внесение законами Республики Коми изменений, приводящих к перераспределению полномочий между Республикой Коми и городскими поселениями, сельскими поселениями.</w:t>
      </w:r>
    </w:p>
    <w:p w:rsidR="005A6EE8" w:rsidRDefault="005A6EE8">
      <w:pPr>
        <w:pStyle w:val="ConsPlusNormal"/>
        <w:jc w:val="both"/>
      </w:pPr>
      <w:r>
        <w:t xml:space="preserve">(часть 7 введена </w:t>
      </w:r>
      <w:hyperlink r:id="rId32" w:history="1">
        <w:r>
          <w:rPr>
            <w:color w:val="0000FF"/>
          </w:rPr>
          <w:t>Законом</w:t>
        </w:r>
      </w:hyperlink>
      <w:r>
        <w:t xml:space="preserve"> РК от 06.11.2019 N 83-РЗ)</w:t>
      </w:r>
    </w:p>
    <w:p w:rsidR="005A6EE8" w:rsidRDefault="005A6EE8">
      <w:pPr>
        <w:pStyle w:val="ConsPlusNormal"/>
        <w:spacing w:before="240"/>
        <w:ind w:firstLine="540"/>
        <w:jc w:val="both"/>
      </w:pPr>
      <w:bookmarkStart w:id="4" w:name="P53"/>
      <w:bookmarkEnd w:id="4"/>
      <w:r>
        <w:t xml:space="preserve">8. </w:t>
      </w:r>
      <w:proofErr w:type="gramStart"/>
      <w:r>
        <w:t>Министерство финансов Республики Коми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республиканского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roofErr w:type="gramEnd"/>
    </w:p>
    <w:p w:rsidR="005A6EE8" w:rsidRDefault="005A6EE8">
      <w:pPr>
        <w:pStyle w:val="ConsPlusNormal"/>
        <w:spacing w:before="240"/>
        <w:ind w:firstLine="540"/>
        <w:jc w:val="both"/>
      </w:pPr>
      <w:bookmarkStart w:id="5" w:name="P54"/>
      <w:bookmarkEnd w:id="5"/>
      <w:r>
        <w:t xml:space="preserve">В случае наделения органов местного самоуправления муниципальных районов полномочиями органов государственной власти Республики Коми по расчету и предоставлению дотаций бюджетам городских, сельских поселений из республиканского бюджета указанные в </w:t>
      </w:r>
      <w:hyperlink w:anchor="P53" w:history="1">
        <w:r>
          <w:rPr>
            <w:color w:val="0000FF"/>
          </w:rPr>
          <w:t>абзаце первом</w:t>
        </w:r>
      </w:hyperlink>
      <w:r>
        <w:t xml:space="preserve"> настоящей части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
    <w:p w:rsidR="005A6EE8" w:rsidRDefault="005A6EE8">
      <w:pPr>
        <w:pStyle w:val="ConsPlusNormal"/>
        <w:spacing w:before="240"/>
        <w:ind w:firstLine="540"/>
        <w:jc w:val="both"/>
      </w:pPr>
      <w:r>
        <w:t xml:space="preserve">Порядок, сроки заключения соглашений, указанных в </w:t>
      </w:r>
      <w:hyperlink w:anchor="P53" w:history="1">
        <w:r>
          <w:rPr>
            <w:color w:val="0000FF"/>
          </w:rPr>
          <w:t>абзацах первом</w:t>
        </w:r>
      </w:hyperlink>
      <w:r>
        <w:t xml:space="preserve"> и </w:t>
      </w:r>
      <w:hyperlink w:anchor="P54" w:history="1">
        <w:r>
          <w:rPr>
            <w:color w:val="0000FF"/>
          </w:rPr>
          <w:t>втором</w:t>
        </w:r>
      </w:hyperlink>
      <w:r>
        <w:t xml:space="preserve"> настоящей части, и требования к указанным соглашениям устанавливаются Правительством Республики Коми.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Республики Коми и применяются в текущем финансовом году по результатам выполнения соответствующим поселением обязательств в отчетном финансовом году.</w:t>
      </w:r>
    </w:p>
    <w:p w:rsidR="005A6EE8" w:rsidRDefault="005A6EE8">
      <w:pPr>
        <w:pStyle w:val="ConsPlusNormal"/>
        <w:jc w:val="both"/>
      </w:pPr>
      <w:r>
        <w:t xml:space="preserve">(часть 8 введена </w:t>
      </w:r>
      <w:hyperlink r:id="rId33" w:history="1">
        <w:r>
          <w:rPr>
            <w:color w:val="0000FF"/>
          </w:rPr>
          <w:t>Законом</w:t>
        </w:r>
      </w:hyperlink>
      <w:r>
        <w:t xml:space="preserve"> РК от 06.11.2019 N 83-РЗ)</w:t>
      </w:r>
    </w:p>
    <w:p w:rsidR="005A6EE8" w:rsidRDefault="003548DB">
      <w:pPr>
        <w:pStyle w:val="ConsPlusNormal"/>
      </w:pPr>
      <w:hyperlink r:id="rId34" w:history="1">
        <w:r w:rsidR="005A6EE8">
          <w:rPr>
            <w:i/>
            <w:color w:val="0000FF"/>
          </w:rPr>
          <w:t>{</w:t>
        </w:r>
        <w:proofErr w:type="spellStart"/>
        <w:r w:rsidR="005A6EE8">
          <w:rPr>
            <w:i/>
            <w:color w:val="0000FF"/>
          </w:rPr>
          <w:t>КонсультантПлюс</w:t>
        </w:r>
        <w:proofErr w:type="spellEnd"/>
        <w:r w:rsidR="005A6EE8">
          <w:rPr>
            <w:i/>
            <w:color w:val="0000FF"/>
          </w:rPr>
          <w:t>}</w:t>
        </w:r>
      </w:hyperlink>
      <w:r w:rsidR="005A6EE8">
        <w:br/>
      </w:r>
    </w:p>
    <w:p w:rsidR="00ED0532" w:rsidRDefault="00ED0532"/>
    <w:sectPr w:rsidR="00ED0532" w:rsidSect="006108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EE8"/>
    <w:rsid w:val="003548DB"/>
    <w:rsid w:val="005A6EE8"/>
    <w:rsid w:val="005F21FC"/>
    <w:rsid w:val="00735827"/>
    <w:rsid w:val="00ED0532"/>
    <w:rsid w:val="00F7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FC"/>
    <w:rPr>
      <w:sz w:val="24"/>
      <w:szCs w:val="24"/>
      <w:lang w:eastAsia="ru-RU"/>
    </w:rPr>
  </w:style>
  <w:style w:type="paragraph" w:styleId="1">
    <w:name w:val="heading 1"/>
    <w:basedOn w:val="a"/>
    <w:next w:val="a"/>
    <w:link w:val="10"/>
    <w:qFormat/>
    <w:rsid w:val="005F21FC"/>
    <w:pPr>
      <w:keepNext/>
      <w:jc w:val="center"/>
      <w:outlineLvl w:val="0"/>
    </w:pPr>
    <w:rPr>
      <w:b/>
      <w:bCs/>
      <w:sz w:val="28"/>
      <w:szCs w:val="28"/>
      <w:lang w:eastAsia="en-US"/>
    </w:rPr>
  </w:style>
  <w:style w:type="paragraph" w:styleId="2">
    <w:name w:val="heading 2"/>
    <w:basedOn w:val="a"/>
    <w:next w:val="a"/>
    <w:link w:val="20"/>
    <w:uiPriority w:val="9"/>
    <w:semiHidden/>
    <w:unhideWhenUsed/>
    <w:qFormat/>
    <w:rsid w:val="00F73A1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3582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3582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735827"/>
    <w:pPr>
      <w:spacing w:before="240" w:after="60"/>
      <w:outlineLvl w:val="4"/>
    </w:pPr>
    <w:rPr>
      <w:rFonts w:asciiTheme="minorHAnsi" w:eastAsiaTheme="minorEastAsia" w:hAnsiTheme="minorHAnsi" w:cstheme="minorBidi"/>
      <w:b/>
      <w:bCs/>
      <w:i/>
      <w:iCs/>
      <w:sz w:val="26"/>
      <w:szCs w:val="26"/>
    </w:rPr>
  </w:style>
  <w:style w:type="paragraph" w:styleId="8">
    <w:name w:val="heading 8"/>
    <w:basedOn w:val="a"/>
    <w:next w:val="a"/>
    <w:link w:val="80"/>
    <w:uiPriority w:val="9"/>
    <w:semiHidden/>
    <w:unhideWhenUsed/>
    <w:qFormat/>
    <w:rsid w:val="00735827"/>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21FC"/>
    <w:rPr>
      <w:b/>
      <w:bCs/>
      <w:sz w:val="28"/>
      <w:szCs w:val="28"/>
    </w:rPr>
  </w:style>
  <w:style w:type="character" w:customStyle="1" w:styleId="20">
    <w:name w:val="Заголовок 2 Знак"/>
    <w:basedOn w:val="a0"/>
    <w:link w:val="2"/>
    <w:uiPriority w:val="9"/>
    <w:semiHidden/>
    <w:rsid w:val="00F73A19"/>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sid w:val="00F73A19"/>
    <w:rPr>
      <w:rFonts w:asciiTheme="majorHAnsi" w:eastAsiaTheme="majorEastAsia" w:hAnsiTheme="majorHAnsi" w:cstheme="majorBidi"/>
      <w:b/>
      <w:bCs/>
      <w:sz w:val="26"/>
      <w:szCs w:val="26"/>
      <w:lang w:eastAsia="ru-RU"/>
    </w:rPr>
  </w:style>
  <w:style w:type="character" w:customStyle="1" w:styleId="40">
    <w:name w:val="Заголовок 4 Знак"/>
    <w:link w:val="4"/>
    <w:uiPriority w:val="9"/>
    <w:semiHidden/>
    <w:rsid w:val="00735827"/>
    <w:rPr>
      <w:rFonts w:asciiTheme="minorHAnsi" w:eastAsiaTheme="minorEastAsia" w:hAnsiTheme="minorHAnsi" w:cstheme="minorBidi"/>
      <w:b/>
      <w:bCs/>
      <w:sz w:val="28"/>
      <w:szCs w:val="28"/>
      <w:lang w:eastAsia="ru-RU"/>
    </w:rPr>
  </w:style>
  <w:style w:type="paragraph" w:styleId="a3">
    <w:name w:val="No Spacing"/>
    <w:uiPriority w:val="1"/>
    <w:qFormat/>
    <w:rsid w:val="00F73A19"/>
    <w:rPr>
      <w:sz w:val="24"/>
      <w:szCs w:val="24"/>
      <w:lang w:eastAsia="ru-RU"/>
    </w:rPr>
  </w:style>
  <w:style w:type="character" w:customStyle="1" w:styleId="50">
    <w:name w:val="Заголовок 5 Знак"/>
    <w:basedOn w:val="a0"/>
    <w:link w:val="5"/>
    <w:uiPriority w:val="9"/>
    <w:semiHidden/>
    <w:rsid w:val="00735827"/>
    <w:rPr>
      <w:rFonts w:asciiTheme="minorHAnsi" w:eastAsiaTheme="minorEastAsia" w:hAnsiTheme="minorHAnsi" w:cstheme="minorBidi"/>
      <w:b/>
      <w:bCs/>
      <w:i/>
      <w:iCs/>
      <w:sz w:val="26"/>
      <w:szCs w:val="26"/>
      <w:lang w:eastAsia="ru-RU"/>
    </w:rPr>
  </w:style>
  <w:style w:type="character" w:customStyle="1" w:styleId="80">
    <w:name w:val="Заголовок 8 Знак"/>
    <w:link w:val="8"/>
    <w:uiPriority w:val="9"/>
    <w:semiHidden/>
    <w:rsid w:val="00735827"/>
    <w:rPr>
      <w:rFonts w:asciiTheme="minorHAnsi" w:eastAsiaTheme="minorEastAsia" w:hAnsiTheme="minorHAnsi" w:cstheme="minorBidi"/>
      <w:i/>
      <w:iCs/>
      <w:sz w:val="24"/>
      <w:szCs w:val="24"/>
      <w:lang w:eastAsia="ru-RU"/>
    </w:rPr>
  </w:style>
  <w:style w:type="paragraph" w:customStyle="1" w:styleId="ConsPlusNormal">
    <w:name w:val="ConsPlusNormal"/>
    <w:rsid w:val="005A6EE8"/>
    <w:pPr>
      <w:widowControl w:val="0"/>
      <w:autoSpaceDE w:val="0"/>
      <w:autoSpaceDN w:val="0"/>
    </w:pPr>
    <w:rPr>
      <w:sz w:val="24"/>
      <w:lang w:eastAsia="ru-RU"/>
    </w:rPr>
  </w:style>
  <w:style w:type="paragraph" w:customStyle="1" w:styleId="ConsPlusTitle">
    <w:name w:val="ConsPlusTitle"/>
    <w:rsid w:val="005A6EE8"/>
    <w:pPr>
      <w:widowControl w:val="0"/>
      <w:autoSpaceDE w:val="0"/>
      <w:autoSpaceDN w:val="0"/>
    </w:pPr>
    <w:rPr>
      <w:b/>
      <w:sz w:val="24"/>
      <w:lang w:eastAsia="ru-RU"/>
    </w:rPr>
  </w:style>
  <w:style w:type="paragraph" w:styleId="a4">
    <w:name w:val="Balloon Text"/>
    <w:basedOn w:val="a"/>
    <w:link w:val="a5"/>
    <w:uiPriority w:val="99"/>
    <w:semiHidden/>
    <w:unhideWhenUsed/>
    <w:rsid w:val="005A6EE8"/>
    <w:rPr>
      <w:rFonts w:ascii="Tahoma" w:hAnsi="Tahoma" w:cs="Tahoma"/>
      <w:sz w:val="16"/>
      <w:szCs w:val="16"/>
    </w:rPr>
  </w:style>
  <w:style w:type="character" w:customStyle="1" w:styleId="a5">
    <w:name w:val="Текст выноски Знак"/>
    <w:basedOn w:val="a0"/>
    <w:link w:val="a4"/>
    <w:uiPriority w:val="99"/>
    <w:semiHidden/>
    <w:rsid w:val="005A6EE8"/>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FC"/>
    <w:rPr>
      <w:sz w:val="24"/>
      <w:szCs w:val="24"/>
      <w:lang w:eastAsia="ru-RU"/>
    </w:rPr>
  </w:style>
  <w:style w:type="paragraph" w:styleId="1">
    <w:name w:val="heading 1"/>
    <w:basedOn w:val="a"/>
    <w:next w:val="a"/>
    <w:link w:val="10"/>
    <w:qFormat/>
    <w:rsid w:val="005F21FC"/>
    <w:pPr>
      <w:keepNext/>
      <w:jc w:val="center"/>
      <w:outlineLvl w:val="0"/>
    </w:pPr>
    <w:rPr>
      <w:b/>
      <w:bCs/>
      <w:sz w:val="28"/>
      <w:szCs w:val="28"/>
      <w:lang w:eastAsia="en-US"/>
    </w:rPr>
  </w:style>
  <w:style w:type="paragraph" w:styleId="2">
    <w:name w:val="heading 2"/>
    <w:basedOn w:val="a"/>
    <w:next w:val="a"/>
    <w:link w:val="20"/>
    <w:uiPriority w:val="9"/>
    <w:semiHidden/>
    <w:unhideWhenUsed/>
    <w:qFormat/>
    <w:rsid w:val="00F73A1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3582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3582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735827"/>
    <w:pPr>
      <w:spacing w:before="240" w:after="60"/>
      <w:outlineLvl w:val="4"/>
    </w:pPr>
    <w:rPr>
      <w:rFonts w:asciiTheme="minorHAnsi" w:eastAsiaTheme="minorEastAsia" w:hAnsiTheme="minorHAnsi" w:cstheme="minorBidi"/>
      <w:b/>
      <w:bCs/>
      <w:i/>
      <w:iCs/>
      <w:sz w:val="26"/>
      <w:szCs w:val="26"/>
    </w:rPr>
  </w:style>
  <w:style w:type="paragraph" w:styleId="8">
    <w:name w:val="heading 8"/>
    <w:basedOn w:val="a"/>
    <w:next w:val="a"/>
    <w:link w:val="80"/>
    <w:uiPriority w:val="9"/>
    <w:semiHidden/>
    <w:unhideWhenUsed/>
    <w:qFormat/>
    <w:rsid w:val="00735827"/>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21FC"/>
    <w:rPr>
      <w:b/>
      <w:bCs/>
      <w:sz w:val="28"/>
      <w:szCs w:val="28"/>
    </w:rPr>
  </w:style>
  <w:style w:type="character" w:customStyle="1" w:styleId="20">
    <w:name w:val="Заголовок 2 Знак"/>
    <w:basedOn w:val="a0"/>
    <w:link w:val="2"/>
    <w:uiPriority w:val="9"/>
    <w:semiHidden/>
    <w:rsid w:val="00F73A19"/>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sid w:val="00F73A19"/>
    <w:rPr>
      <w:rFonts w:asciiTheme="majorHAnsi" w:eastAsiaTheme="majorEastAsia" w:hAnsiTheme="majorHAnsi" w:cstheme="majorBidi"/>
      <w:b/>
      <w:bCs/>
      <w:sz w:val="26"/>
      <w:szCs w:val="26"/>
      <w:lang w:eastAsia="ru-RU"/>
    </w:rPr>
  </w:style>
  <w:style w:type="character" w:customStyle="1" w:styleId="40">
    <w:name w:val="Заголовок 4 Знак"/>
    <w:link w:val="4"/>
    <w:uiPriority w:val="9"/>
    <w:semiHidden/>
    <w:rsid w:val="00735827"/>
    <w:rPr>
      <w:rFonts w:asciiTheme="minorHAnsi" w:eastAsiaTheme="minorEastAsia" w:hAnsiTheme="minorHAnsi" w:cstheme="minorBidi"/>
      <w:b/>
      <w:bCs/>
      <w:sz w:val="28"/>
      <w:szCs w:val="28"/>
      <w:lang w:eastAsia="ru-RU"/>
    </w:rPr>
  </w:style>
  <w:style w:type="paragraph" w:styleId="a3">
    <w:name w:val="No Spacing"/>
    <w:uiPriority w:val="1"/>
    <w:qFormat/>
    <w:rsid w:val="00F73A19"/>
    <w:rPr>
      <w:sz w:val="24"/>
      <w:szCs w:val="24"/>
      <w:lang w:eastAsia="ru-RU"/>
    </w:rPr>
  </w:style>
  <w:style w:type="character" w:customStyle="1" w:styleId="50">
    <w:name w:val="Заголовок 5 Знак"/>
    <w:basedOn w:val="a0"/>
    <w:link w:val="5"/>
    <w:uiPriority w:val="9"/>
    <w:semiHidden/>
    <w:rsid w:val="00735827"/>
    <w:rPr>
      <w:rFonts w:asciiTheme="minorHAnsi" w:eastAsiaTheme="minorEastAsia" w:hAnsiTheme="minorHAnsi" w:cstheme="minorBidi"/>
      <w:b/>
      <w:bCs/>
      <w:i/>
      <w:iCs/>
      <w:sz w:val="26"/>
      <w:szCs w:val="26"/>
      <w:lang w:eastAsia="ru-RU"/>
    </w:rPr>
  </w:style>
  <w:style w:type="character" w:customStyle="1" w:styleId="80">
    <w:name w:val="Заголовок 8 Знак"/>
    <w:link w:val="8"/>
    <w:uiPriority w:val="9"/>
    <w:semiHidden/>
    <w:rsid w:val="00735827"/>
    <w:rPr>
      <w:rFonts w:asciiTheme="minorHAnsi" w:eastAsiaTheme="minorEastAsia" w:hAnsiTheme="minorHAnsi" w:cstheme="minorBidi"/>
      <w:i/>
      <w:iCs/>
      <w:sz w:val="24"/>
      <w:szCs w:val="24"/>
      <w:lang w:eastAsia="ru-RU"/>
    </w:rPr>
  </w:style>
  <w:style w:type="paragraph" w:customStyle="1" w:styleId="ConsPlusNormal">
    <w:name w:val="ConsPlusNormal"/>
    <w:rsid w:val="005A6EE8"/>
    <w:pPr>
      <w:widowControl w:val="0"/>
      <w:autoSpaceDE w:val="0"/>
      <w:autoSpaceDN w:val="0"/>
    </w:pPr>
    <w:rPr>
      <w:sz w:val="24"/>
      <w:lang w:eastAsia="ru-RU"/>
    </w:rPr>
  </w:style>
  <w:style w:type="paragraph" w:customStyle="1" w:styleId="ConsPlusTitle">
    <w:name w:val="ConsPlusTitle"/>
    <w:rsid w:val="005A6EE8"/>
    <w:pPr>
      <w:widowControl w:val="0"/>
      <w:autoSpaceDE w:val="0"/>
      <w:autoSpaceDN w:val="0"/>
    </w:pPr>
    <w:rPr>
      <w:b/>
      <w:sz w:val="24"/>
      <w:lang w:eastAsia="ru-RU"/>
    </w:rPr>
  </w:style>
  <w:style w:type="paragraph" w:styleId="a4">
    <w:name w:val="Balloon Text"/>
    <w:basedOn w:val="a"/>
    <w:link w:val="a5"/>
    <w:uiPriority w:val="99"/>
    <w:semiHidden/>
    <w:unhideWhenUsed/>
    <w:rsid w:val="005A6EE8"/>
    <w:rPr>
      <w:rFonts w:ascii="Tahoma" w:hAnsi="Tahoma" w:cs="Tahoma"/>
      <w:sz w:val="16"/>
      <w:szCs w:val="16"/>
    </w:rPr>
  </w:style>
  <w:style w:type="character" w:customStyle="1" w:styleId="a5">
    <w:name w:val="Текст выноски Знак"/>
    <w:basedOn w:val="a0"/>
    <w:link w:val="a4"/>
    <w:uiPriority w:val="99"/>
    <w:semiHidden/>
    <w:rsid w:val="005A6EE8"/>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8C49EB46815191051A9418C7C3CCDD29DBC5BAED99EF1E2A25C39924E16DD2635500EC9158DF0F4D5FA1725BD32133CCEDA50E9D691175205DC3EEp2gBL" TargetMode="External"/><Relationship Id="rId13" Type="http://schemas.openxmlformats.org/officeDocument/2006/relationships/hyperlink" Target="consultantplus://offline/ref=D18C49EB46815191051A9418C7C3CCDD29DBC5BAED91E8192D29C39924E16DD2635500EC9158DF0F4D5FA37359D32133CCEDA50E9D691175205DC3EEp2gBL" TargetMode="External"/><Relationship Id="rId18" Type="http://schemas.openxmlformats.org/officeDocument/2006/relationships/hyperlink" Target="consultantplus://offline/ref=D18C49EB46815191051A9418C7C3CCDD29DBC5BAED91E8192D29C39924E16DD2635500EC9158DF0F4D5FA37357D32133CCEDA50E9D691175205DC3EEp2gBL" TargetMode="External"/><Relationship Id="rId26" Type="http://schemas.openxmlformats.org/officeDocument/2006/relationships/hyperlink" Target="consultantplus://offline/ref=D18C49EB46815191051A9418C7C3CCDD29DBC5BAEB90EA152F2A9E932CB861D0645A5FFB9611D30E4D5FA574548C2426DDB5A80C817612693C5FC1pEgCL" TargetMode="External"/><Relationship Id="rId3" Type="http://schemas.openxmlformats.org/officeDocument/2006/relationships/settings" Target="settings.xml"/><Relationship Id="rId21" Type="http://schemas.openxmlformats.org/officeDocument/2006/relationships/hyperlink" Target="consultantplus://offline/ref=D18C49EB46815191051A9418C7C3CCDD29DBC5BAE89BE91A222A9E932CB861D0645A5FFB9611D30E4D5FA379548C2426DDB5A80C817612693C5FC1pEgCL" TargetMode="External"/><Relationship Id="rId34" Type="http://schemas.openxmlformats.org/officeDocument/2006/relationships/hyperlink" Target="consultantplus://offline/ref=D18C49EB46815191051A9418C7C3CCDD29DBC5BAED91E8192D26C39924E16DD2635500EC9158DF0F4D5FA2705AD32133CCEDA50E9D691175205DC3EEp2gBL" TargetMode="External"/><Relationship Id="rId7" Type="http://schemas.openxmlformats.org/officeDocument/2006/relationships/hyperlink" Target="consultantplus://offline/ref=D18C49EB46815191051A9418C7C3CCDD29DBC5BAED91E8192D29C39924E16DD2635500EC9158DF0F4D5FA3735BD32133CCEDA50E9D691175205DC3EEp2gBL" TargetMode="External"/><Relationship Id="rId12" Type="http://schemas.openxmlformats.org/officeDocument/2006/relationships/hyperlink" Target="consultantplus://offline/ref=D18C49EB46815191051A9418C7C3CCDD29DBC5BAED99EF1E2A25C39924E16DD2635500EC9158DF0F4D5FA17258D32133CCEDA50E9D691175205DC3EEp2gBL" TargetMode="External"/><Relationship Id="rId17" Type="http://schemas.openxmlformats.org/officeDocument/2006/relationships/hyperlink" Target="consultantplus://offline/ref=D18C49EB46815191051A9418C7C3CCDD29DBC5BAED91E8192D29C39924E16DD2635500EC9158DF0F4D5FA37358D32133CCEDA50E9D691175205DC3EEp2gBL" TargetMode="External"/><Relationship Id="rId25" Type="http://schemas.openxmlformats.org/officeDocument/2006/relationships/hyperlink" Target="consultantplus://offline/ref=D18C49EB46815191051A9418C7C3CCDD29DBC5BAE89BE91A222A9E932CB861D0645A5FFB9611D30E4D5FA276548C2426DDB5A80C817612693C5FC1pEgCL" TargetMode="External"/><Relationship Id="rId33" Type="http://schemas.openxmlformats.org/officeDocument/2006/relationships/hyperlink" Target="consultantplus://offline/ref=D18C49EB46815191051A9418C7C3CCDD29DBC5BAED91E8192D29C39924E16DD2635500EC9158DF0F4D5FA3755DD32133CCEDA50E9D691175205DC3EEp2gBL" TargetMode="External"/><Relationship Id="rId2" Type="http://schemas.microsoft.com/office/2007/relationships/stylesWithEffects" Target="stylesWithEffects.xml"/><Relationship Id="rId16" Type="http://schemas.openxmlformats.org/officeDocument/2006/relationships/hyperlink" Target="consultantplus://offline/ref=D18C49EB46815191051A9418C7C3CCDD29DBC5BAED99EF1E2A25C39924E16DD2635500EC9158DF0F4D5FA1755FD32133CCEDA50E9D691175205DC3EEp2gBL" TargetMode="External"/><Relationship Id="rId20" Type="http://schemas.openxmlformats.org/officeDocument/2006/relationships/hyperlink" Target="consultantplus://offline/ref=D18C49EB46815191051A9418C7C3CCDD29DBC5BAED91E8192D29C39924E16DD2635500EC9158DF0F4D5FA3725FD32133CCEDA50E9D691175205DC3EEp2gBL" TargetMode="External"/><Relationship Id="rId29" Type="http://schemas.openxmlformats.org/officeDocument/2006/relationships/hyperlink" Target="consultantplus://offline/ref=D18C49EB46815191051A9418C7C3CCDD29DBC5BAE499E314222A9E932CB861D0645A5FFB9611D30E4D5FA270548C2426DDB5A80C817612693C5FC1pEgCL" TargetMode="External"/><Relationship Id="rId1" Type="http://schemas.openxmlformats.org/officeDocument/2006/relationships/styles" Target="styles.xml"/><Relationship Id="rId6" Type="http://schemas.openxmlformats.org/officeDocument/2006/relationships/hyperlink" Target="consultantplus://offline/ref=D18C49EB46815191051A9418C7C3CCDD29DBC5BAED91E8192D29C39924E16DD2635500EC9158DF0F4D5FA3735CD32133CCEDA50E9D691175205DC3EEp2gBL" TargetMode="External"/><Relationship Id="rId11" Type="http://schemas.openxmlformats.org/officeDocument/2006/relationships/hyperlink" Target="consultantplus://offline/ref=D18C49EB46815191051A9418C7C3CCDD29DBC5BAED91E8192D29C39924E16DD2635500EC9158DF0F4D5FA37359D32133CCEDA50E9D691175205DC3EEp2gBL" TargetMode="External"/><Relationship Id="rId24" Type="http://schemas.openxmlformats.org/officeDocument/2006/relationships/hyperlink" Target="consultantplus://offline/ref=D18C49EB46815191051A9418C7C3CCDD29DBC5BAE89BE91A222A9E932CB861D0645A5FFB9611D30E4D5FA277548C2426DDB5A80C817612693C5FC1pEgCL" TargetMode="External"/><Relationship Id="rId32" Type="http://schemas.openxmlformats.org/officeDocument/2006/relationships/hyperlink" Target="consultantplus://offline/ref=D18C49EB46815191051A9418C7C3CCDD29DBC5BAED91E8192D29C39924E16DD2635500EC9158DF0F4D5FA37258D32133CCEDA50E9D691175205DC3EEp2gBL" TargetMode="External"/><Relationship Id="rId5" Type="http://schemas.openxmlformats.org/officeDocument/2006/relationships/hyperlink" Target="consultantplus://offline/ref=D18C49EB46815191051A9418C7C3CCDD29DBC5BAED91E8192D29C39924E16DD2635500EC9158DF0F4D5FA3735ED32133CCEDA50E9D691175205DC3EEp2gBL" TargetMode="External"/><Relationship Id="rId15" Type="http://schemas.openxmlformats.org/officeDocument/2006/relationships/hyperlink" Target="consultantplus://offline/ref=D18C49EB46815191051A9418C7C3CCDD29DBC5BAED91E8192D29C39924E16DD2635500EC9158DF0F4D5FA37359D32133CCEDA50E9D691175205DC3EEp2gBL" TargetMode="External"/><Relationship Id="rId23" Type="http://schemas.openxmlformats.org/officeDocument/2006/relationships/hyperlink" Target="consultantplus://offline/ref=D18C49EB46815191051A9418C7C3CCDD29DBC5BAED91E8192D29C39924E16DD2635500EC9158DF0F4D5FA3725ED32133CCEDA50E9D691175205DC3EEp2gBL" TargetMode="External"/><Relationship Id="rId28" Type="http://schemas.openxmlformats.org/officeDocument/2006/relationships/hyperlink" Target="consultantplus://offline/ref=D18C49EB46815191051A9418C7C3CCDD29DBC5BAE499E314222A9E932CB861D0645A5FFB9611D30E4D5FA271548C2426DDB5A80C817612693C5FC1pEgCL" TargetMode="External"/><Relationship Id="rId36" Type="http://schemas.openxmlformats.org/officeDocument/2006/relationships/theme" Target="theme/theme1.xml"/><Relationship Id="rId10" Type="http://schemas.openxmlformats.org/officeDocument/2006/relationships/hyperlink" Target="consultantplus://offline/ref=D18C49EB46815191051A8A15D1AF92D92CD69EB5EA99E14B7675C5CE7BB16B87231506BAD31BD605190EE52452D8777C89BAB60C9F75p1g0L" TargetMode="External"/><Relationship Id="rId19" Type="http://schemas.openxmlformats.org/officeDocument/2006/relationships/hyperlink" Target="consultantplus://offline/ref=D18C49EB46815191051A9418C7C3CCDD29DBC5BAED99EF1E2A25C39924E16DD2635500EC9158DF0F4D5FA1755ED32133CCEDA50E9D691175205DC3EEp2gBL" TargetMode="External"/><Relationship Id="rId31" Type="http://schemas.openxmlformats.org/officeDocument/2006/relationships/hyperlink" Target="consultantplus://offline/ref=D18C49EB46815191051A9418C7C3CCDD29DBC5BAED91E8192D29C39924E16DD2635500EC9158DF0F4D5FA37259D32133CCEDA50E9D691175205DC3EEp2gBL" TargetMode="External"/><Relationship Id="rId4" Type="http://schemas.openxmlformats.org/officeDocument/2006/relationships/webSettings" Target="webSettings.xml"/><Relationship Id="rId9" Type="http://schemas.openxmlformats.org/officeDocument/2006/relationships/hyperlink" Target="consultantplus://offline/ref=D18C49EB46815191051A9418C7C3CCDD29DBC5BAED91E8192D29C39924E16DD2635500EC9158DF0F4D5FA37359D32133CCEDA50E9D691175205DC3EEp2gBL" TargetMode="External"/><Relationship Id="rId14" Type="http://schemas.openxmlformats.org/officeDocument/2006/relationships/hyperlink" Target="consultantplus://offline/ref=D18C49EB46815191051A9418C7C3CCDD29DBC5BAED99EF1E2A25C39924E16DD2635500EC9158DF0F4D5FA17256D32133CCEDA50E9D691175205DC3EEp2gBL" TargetMode="External"/><Relationship Id="rId22" Type="http://schemas.openxmlformats.org/officeDocument/2006/relationships/hyperlink" Target="consultantplus://offline/ref=D18C49EB46815191051A8A15D1AF92D92CD69EB5EA99E14B7675C5CE7BB16B8731155EB5D21ECC0F4F41A3715DpDg8L" TargetMode="External"/><Relationship Id="rId27" Type="http://schemas.openxmlformats.org/officeDocument/2006/relationships/hyperlink" Target="consultantplus://offline/ref=D18C49EB46815191051A9418C7C3CCDD29DBC5BAEB90EA152F2A9E932CB861D0645A5FFB9611D30E4D5FA577548C2426DDB5A80C817612693C5FC1pEgCL" TargetMode="External"/><Relationship Id="rId30" Type="http://schemas.openxmlformats.org/officeDocument/2006/relationships/hyperlink" Target="consultantplus://offline/ref=D18C49EB46815191051A9418C7C3CCDD29DBC5BAEB90EA152F2A9E932CB861D0645A5FFB9611D30E4D5FA576548C2426DDB5A80C817612693C5FC1pEgC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2878</Words>
  <Characters>16405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Печеницына</dc:creator>
  <cp:lastModifiedBy>Печеницына</cp:lastModifiedBy>
  <cp:revision>2</cp:revision>
  <cp:lastPrinted>2020-12-02T11:33:00Z</cp:lastPrinted>
  <dcterms:created xsi:type="dcterms:W3CDTF">2020-12-02T11:32:00Z</dcterms:created>
  <dcterms:modified xsi:type="dcterms:W3CDTF">2021-10-21T13:36:00Z</dcterms:modified>
</cp:coreProperties>
</file>